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b/>
          <w:sz w:val="28"/>
          <w:szCs w:val="28"/>
          <w:highlight w:val="none"/>
          <w:lang w:val="en-US" w:eastAsia="zh-CN"/>
        </w:rPr>
      </w:pPr>
      <w:r>
        <w:rPr>
          <w:rFonts w:hint="default" w:ascii="Times New Roman" w:hAnsi="Times New Roman" w:eastAsia="仿宋_GB2312" w:cs="Times New Roman"/>
          <w:b/>
          <w:sz w:val="28"/>
          <w:szCs w:val="28"/>
          <w:highlight w:val="none"/>
        </w:rPr>
        <w:t>农 用 地 租 赁 合 同（鱼塘类）</w:t>
      </w:r>
      <w:r>
        <w:rPr>
          <w:rFonts w:hint="eastAsia" w:eastAsia="仿宋_GB2312" w:cs="Times New Roman"/>
          <w:b/>
          <w:sz w:val="28"/>
          <w:szCs w:val="28"/>
          <w:highlight w:val="none"/>
          <w:lang w:val="en-US" w:eastAsia="zh-CN"/>
        </w:rPr>
        <w:t>样 板</w:t>
      </w:r>
    </w:p>
    <w:p>
      <w:pPr>
        <w:keepNext w:val="0"/>
        <w:keepLines w:val="0"/>
        <w:pageBreakBefore w:val="0"/>
        <w:kinsoku/>
        <w:wordWrap/>
        <w:overflowPunct/>
        <w:topLinePunct w:val="0"/>
        <w:autoSpaceDE/>
        <w:autoSpaceDN/>
        <w:bidi w:val="0"/>
        <w:adjustRightInd/>
        <w:snapToGrid/>
        <w:spacing w:line="560" w:lineRule="exact"/>
        <w:ind w:firstLine="57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lang w:eastAsia="zh-CN"/>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lang w:eastAsia="zh-CN"/>
        </w:rPr>
        <w:t>广州南沙现代农业产业集团有限公司</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钟惠彪 </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广州市南沙区珠江街新广五路英豪街1号</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lang w:val="en-US" w:eastAsia="zh-CN"/>
        </w:rPr>
        <w:t>组织机构代码（身份证号码）</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住址</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highlight w:val="none"/>
        </w:rPr>
      </w:pP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一、出租鱼塘基本情况：</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21西围下5-6号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（详见附件附图）</w:t>
      </w:r>
      <w:r>
        <w:rPr>
          <w:rFonts w:hint="eastAsia" w:ascii="仿宋" w:hAnsi="仿宋" w:eastAsia="仿宋" w:cs="仿宋"/>
          <w:sz w:val="28"/>
          <w:szCs w:val="28"/>
          <w:highlight w:val="none"/>
        </w:rPr>
        <w:t>。</w:t>
      </w:r>
    </w:p>
    <w:p>
      <w:pPr>
        <w:pStyle w:val="4"/>
        <w:rPr>
          <w:rFonts w:hint="eastAsia" w:ascii="仿宋" w:hAnsi="仿宋" w:eastAsia="仿宋" w:cs="仿宋"/>
          <w:sz w:val="28"/>
          <w:szCs w:val="28"/>
          <w:highlight w:val="none"/>
        </w:rPr>
      </w:pPr>
    </w:p>
    <w:p>
      <w:pPr>
        <w:rPr>
          <w:rFonts w:hint="eastAsia" w:ascii="仿宋" w:hAnsi="仿宋" w:eastAsia="仿宋" w:cs="仿宋"/>
          <w:sz w:val="28"/>
          <w:szCs w:val="28"/>
        </w:rPr>
      </w:pP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2124"/>
        <w:gridCol w:w="2122"/>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200" w:type="dxa"/>
            <w:gridSpan w:val="4"/>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975"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12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7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1975"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c>
          <w:tcPr>
            <w:tcW w:w="212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c>
          <w:tcPr>
            <w:tcW w:w="2122"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c>
          <w:tcPr>
            <w:tcW w:w="197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面积：</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亩</w:t>
      </w:r>
      <w:r>
        <w:rPr>
          <w:rFonts w:hint="eastAsia" w:ascii="仿宋" w:hAnsi="仿宋" w:eastAsia="仿宋" w:cs="仿宋"/>
          <w:sz w:val="28"/>
          <w:szCs w:val="28"/>
          <w:highlight w:val="none"/>
        </w:rPr>
        <w:t>（不包括：运输机耕路及水窦水面面积，详见附件附图。）</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乙方不得对鱼塘用作买卖、拍卖或抵押，不能改变鱼塘用途和功能，只能用于</w:t>
      </w:r>
      <w:r>
        <w:rPr>
          <w:rFonts w:hint="eastAsia" w:ascii="仿宋" w:hAnsi="仿宋" w:eastAsia="仿宋" w:cs="仿宋"/>
          <w:sz w:val="28"/>
          <w:szCs w:val="28"/>
          <w:highlight w:val="none"/>
          <w:u w:val="single"/>
          <w:lang w:val="en-US" w:eastAsia="zh-CN"/>
        </w:rPr>
        <w:t>青蟹育苗、青蟹种蟹培育业务</w:t>
      </w:r>
      <w:r>
        <w:rPr>
          <w:rFonts w:hint="eastAsia" w:ascii="仿宋" w:hAnsi="仿宋" w:eastAsia="仿宋" w:cs="仿宋"/>
          <w:sz w:val="28"/>
          <w:szCs w:val="28"/>
          <w:highlight w:val="none"/>
        </w:rPr>
        <w:t>。鱼塘排灌情况乙方已经了解，并愿意承租，乙方承诺不向甲方追究因排灌问题而造成的任何损失。</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2022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2028 </w:t>
      </w:r>
      <w:r>
        <w:rPr>
          <w:rFonts w:hint="eastAsia" w:ascii="仿宋" w:hAnsi="仿宋" w:eastAsia="仿宋" w:cs="仿宋"/>
          <w:color w:val="000000"/>
          <w:sz w:val="28"/>
          <w:szCs w:val="28"/>
          <w:highlight w:val="none"/>
        </w:rPr>
        <w:t>年</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一、二</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三</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个合同年起，年租金以上一合同年租金标准为基准价，每</w:t>
      </w:r>
      <w:r>
        <w:rPr>
          <w:rFonts w:hint="eastAsia" w:ascii="仿宋" w:hAnsi="仿宋" w:eastAsia="仿宋" w:cs="仿宋"/>
          <w:sz w:val="28"/>
          <w:szCs w:val="28"/>
          <w:highlight w:val="none"/>
          <w:lang w:val="en-US" w:eastAsia="zh-CN"/>
        </w:rPr>
        <w:t>两</w:t>
      </w:r>
      <w:r>
        <w:rPr>
          <w:rFonts w:hint="eastAsia" w:ascii="仿宋" w:hAnsi="仿宋" w:eastAsia="仿宋" w:cs="仿宋"/>
          <w:sz w:val="28"/>
          <w:szCs w:val="28"/>
          <w:highlight w:val="none"/>
        </w:rPr>
        <w:t>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四、鱼塘租金的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w:t>
      </w:r>
      <w:r>
        <w:rPr>
          <w:rFonts w:hint="eastAsia" w:ascii="仿宋" w:hAnsi="仿宋" w:eastAsia="仿宋" w:cs="仿宋"/>
          <w:sz w:val="28"/>
          <w:szCs w:val="28"/>
          <w:highlight w:val="none"/>
          <w:u w:val="none"/>
        </w:rPr>
        <w:t>前10日</w:t>
      </w:r>
      <w:r>
        <w:rPr>
          <w:rFonts w:hint="eastAsia" w:ascii="仿宋" w:hAnsi="仿宋" w:eastAsia="仿宋" w:cs="仿宋"/>
          <w:sz w:val="28"/>
          <w:szCs w:val="28"/>
          <w:highlight w:val="none"/>
        </w:rPr>
        <w:t>内一次性付清给甲方。如乙方逾期</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付，属于乙方违约，</w:t>
      </w:r>
      <w:r>
        <w:rPr>
          <w:rFonts w:hint="eastAsia" w:ascii="仿宋" w:hAnsi="仿宋" w:eastAsia="仿宋" w:cs="仿宋"/>
          <w:sz w:val="28"/>
          <w:szCs w:val="28"/>
          <w:highlight w:val="none"/>
          <w:lang w:val="en-US" w:eastAsia="zh-CN"/>
        </w:rPr>
        <w:t>甲方有权自</w:t>
      </w:r>
      <w:r>
        <w:rPr>
          <w:rFonts w:hint="eastAsia" w:ascii="仿宋" w:hAnsi="仿宋" w:eastAsia="仿宋" w:cs="仿宋"/>
          <w:sz w:val="28"/>
          <w:szCs w:val="28"/>
          <w:highlight w:val="none"/>
        </w:rPr>
        <w:t>乙方逾期付款之日起每</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按</w:t>
      </w:r>
      <w:r>
        <w:rPr>
          <w:rFonts w:hint="eastAsia" w:ascii="仿宋" w:hAnsi="仿宋" w:eastAsia="仿宋" w:cs="仿宋"/>
          <w:sz w:val="28"/>
          <w:szCs w:val="28"/>
          <w:highlight w:val="none"/>
          <w:lang w:val="en-US" w:eastAsia="zh-CN"/>
        </w:rPr>
        <w:t>欠款额的1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计收逾期付款</w:t>
      </w:r>
      <w:r>
        <w:rPr>
          <w:rFonts w:hint="eastAsia" w:ascii="仿宋" w:hAnsi="仿宋" w:eastAsia="仿宋" w:cs="仿宋"/>
          <w:sz w:val="28"/>
          <w:szCs w:val="28"/>
          <w:highlight w:val="none"/>
        </w:rPr>
        <w:t>违约金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 w:hAnsi="仿宋" w:eastAsia="仿宋" w:cs="仿宋"/>
          <w:kern w:val="0"/>
          <w:sz w:val="28"/>
          <w:szCs w:val="28"/>
        </w:rPr>
        <w:t>向乙方追收应交的租金、</w:t>
      </w:r>
      <w:r>
        <w:rPr>
          <w:rFonts w:hint="eastAsia" w:ascii="仿宋" w:hAnsi="仿宋" w:eastAsia="仿宋" w:cs="仿宋"/>
          <w:kern w:val="0"/>
          <w:sz w:val="28"/>
          <w:szCs w:val="28"/>
          <w:lang w:val="en-US" w:eastAsia="zh-CN"/>
        </w:rPr>
        <w:t>违约金</w:t>
      </w:r>
      <w:r>
        <w:rPr>
          <w:rFonts w:hint="eastAsia" w:ascii="仿宋" w:hAnsi="仿宋" w:eastAsia="仿宋" w:cs="仿宋"/>
          <w:kern w:val="0"/>
          <w:sz w:val="28"/>
          <w:szCs w:val="28"/>
        </w:rPr>
        <w:t>以及甲方的其他一切损失。</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履约保证金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p>
    <w:p>
      <w:pPr>
        <w:keepNext w:val="0"/>
        <w:keepLines w:val="0"/>
        <w:pageBreakBefore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sz w:val="28"/>
          <w:szCs w:val="28"/>
          <w:highlight w:val="none"/>
        </w:rPr>
      </w:pPr>
      <w:r>
        <w:rPr>
          <w:rFonts w:hint="eastAsia" w:ascii="仿宋" w:hAnsi="仿宋" w:eastAsia="仿宋" w:cs="仿宋"/>
          <w:spacing w:val="28"/>
          <w:sz w:val="28"/>
          <w:szCs w:val="28"/>
          <w:highlight w:val="none"/>
        </w:rPr>
        <w:t>1</w:t>
      </w:r>
      <w:r>
        <w:rPr>
          <w:rFonts w:hint="eastAsia" w:ascii="仿宋" w:hAnsi="仿宋" w:eastAsia="仿宋" w:cs="仿宋"/>
          <w:spacing w:val="28"/>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pacing w:val="28"/>
          <w:sz w:val="28"/>
          <w:szCs w:val="28"/>
          <w:highlight w:val="none"/>
        </w:rPr>
        <w:t>为了保证乙方严格履行本合同，乙方</w:t>
      </w:r>
      <w:r>
        <w:rPr>
          <w:rFonts w:hint="eastAsia" w:ascii="仿宋" w:hAnsi="仿宋" w:eastAsia="仿宋" w:cs="仿宋"/>
          <w:spacing w:val="28"/>
          <w:sz w:val="28"/>
          <w:szCs w:val="28"/>
          <w:highlight w:val="none"/>
          <w:lang w:val="en-US" w:eastAsia="zh-CN"/>
        </w:rPr>
        <w:t>应</w:t>
      </w:r>
      <w:r>
        <w:rPr>
          <w:rFonts w:hint="eastAsia" w:ascii="仿宋" w:hAnsi="仿宋" w:eastAsia="仿宋" w:cs="仿宋"/>
          <w:spacing w:val="28"/>
          <w:sz w:val="28"/>
          <w:szCs w:val="28"/>
          <w:highlight w:val="none"/>
        </w:rPr>
        <w:t>在签订本合同</w:t>
      </w:r>
      <w:r>
        <w:rPr>
          <w:rFonts w:hint="eastAsia" w:ascii="仿宋" w:hAnsi="仿宋" w:eastAsia="仿宋" w:cs="仿宋"/>
          <w:spacing w:val="28"/>
          <w:sz w:val="28"/>
          <w:szCs w:val="28"/>
          <w:highlight w:val="none"/>
          <w:lang w:val="en-US" w:eastAsia="zh-CN"/>
        </w:rPr>
        <w:t>后3日内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lang w:val="en-US" w:eastAsia="zh-CN"/>
        </w:rPr>
        <w:t xml:space="preserve"> 500 </w:t>
      </w:r>
      <w:r>
        <w:rPr>
          <w:rFonts w:hint="eastAsia" w:ascii="仿宋" w:hAnsi="仿宋" w:eastAsia="仿宋" w:cs="仿宋"/>
          <w:sz w:val="28"/>
          <w:szCs w:val="28"/>
          <w:highlight w:val="none"/>
        </w:rPr>
        <w:t>元/亩的标准</w:t>
      </w:r>
      <w:r>
        <w:rPr>
          <w:rFonts w:hint="eastAsia" w:ascii="仿宋" w:hAnsi="仿宋" w:eastAsia="仿宋" w:cs="仿宋"/>
          <w:spacing w:val="28"/>
          <w:sz w:val="28"/>
          <w:szCs w:val="28"/>
          <w:highlight w:val="none"/>
        </w:rPr>
        <w:t>向</w:t>
      </w:r>
      <w:r>
        <w:rPr>
          <w:rFonts w:hint="eastAsia" w:ascii="仿宋" w:hAnsi="仿宋" w:eastAsia="仿宋" w:cs="仿宋"/>
          <w:sz w:val="28"/>
          <w:szCs w:val="28"/>
          <w:highlight w:val="none"/>
        </w:rPr>
        <w:t>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大写人民币：</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）的履约保证金</w:t>
      </w:r>
      <w:r>
        <w:rPr>
          <w:rFonts w:hint="eastAsia" w:ascii="仿宋" w:hAnsi="仿宋" w:eastAsia="仿宋" w:cs="仿宋"/>
          <w:sz w:val="28"/>
          <w:szCs w:val="28"/>
          <w:highlight w:val="none"/>
        </w:rPr>
        <w:t>。甲方待合同履行期满且乙方无违约行为的情况下不计息退还给乙方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单方解除</w:t>
      </w:r>
      <w:r>
        <w:rPr>
          <w:rFonts w:hint="eastAsia" w:ascii="仿宋" w:hAnsi="仿宋" w:eastAsia="仿宋" w:cs="仿宋"/>
          <w:sz w:val="28"/>
          <w:szCs w:val="28"/>
          <w:highlight w:val="none"/>
        </w:rPr>
        <w:t>本合同，并有权将本合同所涉及鱼塘另行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乙方承诺按《广州市池塘养殖生态治理技术指导意见》（见附件1）对养殖水进行治理，并在签订合同</w:t>
      </w:r>
      <w:r>
        <w:rPr>
          <w:rFonts w:hint="eastAsia" w:ascii="仿宋" w:hAnsi="仿宋" w:eastAsia="仿宋" w:cs="仿宋"/>
          <w:sz w:val="28"/>
          <w:szCs w:val="28"/>
          <w:highlight w:val="none"/>
          <w:lang w:val="en-US" w:eastAsia="zh-CN"/>
        </w:rPr>
        <w:t>后三日内按</w:t>
      </w:r>
      <w:r>
        <w:rPr>
          <w:rFonts w:hint="eastAsia" w:ascii="仿宋" w:hAnsi="仿宋" w:eastAsia="仿宋" w:cs="仿宋"/>
          <w:sz w:val="28"/>
          <w:szCs w:val="28"/>
          <w:highlight w:val="none"/>
          <w:u w:val="single"/>
          <w:lang w:val="en-US" w:eastAsia="zh-CN"/>
        </w:rPr>
        <w:t xml:space="preserve"> 300 </w:t>
      </w:r>
      <w:r>
        <w:rPr>
          <w:rFonts w:hint="eastAsia" w:ascii="仿宋" w:hAnsi="仿宋" w:eastAsia="仿宋" w:cs="仿宋"/>
          <w:sz w:val="28"/>
          <w:szCs w:val="28"/>
          <w:highlight w:val="none"/>
        </w:rPr>
        <w:t>元/亩</w:t>
      </w:r>
      <w:r>
        <w:rPr>
          <w:rFonts w:hint="eastAsia" w:ascii="仿宋" w:hAnsi="仿宋" w:eastAsia="仿宋" w:cs="仿宋"/>
          <w:sz w:val="28"/>
          <w:szCs w:val="28"/>
          <w:highlight w:val="none"/>
          <w:lang w:val="en-US" w:eastAsia="zh-CN"/>
        </w:rPr>
        <w:t>向甲方缴纳排水保证金</w:t>
      </w:r>
      <w:r>
        <w:rPr>
          <w:rFonts w:hint="eastAsia" w:ascii="仿宋" w:hAnsi="仿宋" w:eastAsia="仿宋" w:cs="仿宋"/>
          <w:sz w:val="28"/>
          <w:szCs w:val="28"/>
          <w:highlight w:val="none"/>
        </w:rPr>
        <w:t>，合计共</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元的排水保证金，以保证治理和养殖期间的水质符合《淡水池塘养殖水排放要求》。</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w:t>
      </w:r>
      <w:r>
        <w:rPr>
          <w:rFonts w:hint="eastAsia" w:ascii="仿宋" w:hAnsi="仿宋" w:eastAsia="仿宋" w:cs="仿宋"/>
          <w:sz w:val="28"/>
          <w:szCs w:val="28"/>
          <w:highlight w:val="none"/>
          <w:lang w:val="en-US" w:eastAsia="zh-CN"/>
        </w:rPr>
        <w:t>如上级部门发布新的法律法规，乙方需按新的规定执行。</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乙方未在期限内完成治理或在合同期内向外排放不达标养殖水的视为乙方违约处理，甲方有权单方解除合同，没收排水保证金，无条件收回鱼塘另行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一切损失。合同履行期满且乙方无上述违规违约行为的，甲方不计息退还上述排水保证金给乙方</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乙方在签订合同</w:t>
      </w:r>
      <w:r>
        <w:rPr>
          <w:rFonts w:hint="eastAsia" w:ascii="仿宋" w:hAnsi="仿宋" w:eastAsia="仿宋" w:cs="仿宋"/>
          <w:bCs/>
          <w:sz w:val="28"/>
          <w:szCs w:val="28"/>
          <w:highlight w:val="none"/>
        </w:rPr>
        <w:t>时</w:t>
      </w:r>
      <w:r>
        <w:rPr>
          <w:rFonts w:hint="eastAsia" w:ascii="仿宋" w:hAnsi="仿宋" w:eastAsia="仿宋" w:cs="仿宋"/>
          <w:sz w:val="28"/>
          <w:szCs w:val="28"/>
          <w:highlight w:val="none"/>
        </w:rPr>
        <w:t>须一次性向甲方缴交窦利窦闸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rPr>
        <w:t>共</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1000.00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/件（土地内窦利窦闸的数量见本合同附件）</w:t>
      </w:r>
      <w:r>
        <w:rPr>
          <w:rFonts w:hint="eastAsia" w:ascii="仿宋" w:hAnsi="仿宋" w:eastAsia="仿宋" w:cs="仿宋"/>
          <w:bCs/>
          <w:sz w:val="28"/>
          <w:szCs w:val="28"/>
          <w:highlight w:val="none"/>
        </w:rPr>
        <w:t>。在土地交接时，窦利窦闸不论新旧，由甲方按双方认可的现状配备给乙方，合同期内如有损坏,由乙方负责配置或维修。</w:t>
      </w:r>
      <w:r>
        <w:rPr>
          <w:rFonts w:hint="eastAsia" w:ascii="仿宋" w:hAnsi="仿宋" w:eastAsia="仿宋" w:cs="仿宋"/>
          <w:sz w:val="28"/>
          <w:szCs w:val="28"/>
          <w:highlight w:val="none"/>
        </w:rPr>
        <w:t>合同履行期满，乙方将窦利窦闸完好移交甲方后，甲方将</w:t>
      </w:r>
      <w:r>
        <w:rPr>
          <w:rFonts w:hint="eastAsia" w:ascii="仿宋" w:hAnsi="仿宋" w:eastAsia="仿宋" w:cs="仿宋"/>
          <w:sz w:val="28"/>
          <w:szCs w:val="28"/>
          <w:highlight w:val="none"/>
          <w:lang w:val="en-US" w:eastAsia="zh-CN"/>
        </w:rPr>
        <w:t>窦利窦闸保证金不计息</w:t>
      </w:r>
      <w:r>
        <w:rPr>
          <w:rFonts w:hint="eastAsia" w:ascii="仿宋" w:hAnsi="仿宋" w:eastAsia="仿宋" w:cs="仿宋"/>
          <w:sz w:val="28"/>
          <w:szCs w:val="28"/>
          <w:highlight w:val="none"/>
        </w:rPr>
        <w:t>退还给乙方；</w:t>
      </w:r>
      <w:r>
        <w:rPr>
          <w:rFonts w:hint="eastAsia" w:ascii="仿宋" w:hAnsi="仿宋" w:eastAsia="仿宋" w:cs="仿宋"/>
          <w:bCs/>
          <w:sz w:val="28"/>
          <w:szCs w:val="28"/>
          <w:highlight w:val="none"/>
        </w:rPr>
        <w:t>如乙方不能交回，则按每件</w:t>
      </w:r>
      <w:r>
        <w:rPr>
          <w:rFonts w:hint="eastAsia" w:ascii="仿宋" w:hAnsi="仿宋" w:eastAsia="仿宋" w:cs="仿宋"/>
          <w:bCs/>
          <w:sz w:val="28"/>
          <w:szCs w:val="28"/>
          <w:highlight w:val="none"/>
          <w:u w:val="single"/>
          <w:lang w:val="en-US" w:eastAsia="zh-CN"/>
        </w:rPr>
        <w:t xml:space="preserve"> 400.00 </w:t>
      </w:r>
      <w:r>
        <w:rPr>
          <w:rFonts w:hint="eastAsia" w:ascii="仿宋" w:hAnsi="仿宋" w:eastAsia="仿宋" w:cs="仿宋"/>
          <w:bCs/>
          <w:sz w:val="28"/>
          <w:szCs w:val="28"/>
          <w:highlight w:val="none"/>
        </w:rPr>
        <w:t>元赔付，由甲方直接在乙方的窦利窦闸</w:t>
      </w:r>
      <w:r>
        <w:rPr>
          <w:rFonts w:hint="eastAsia" w:ascii="仿宋" w:hAnsi="仿宋" w:eastAsia="仿宋" w:cs="仿宋"/>
          <w:bCs/>
          <w:sz w:val="28"/>
          <w:szCs w:val="28"/>
          <w:highlight w:val="none"/>
          <w:lang w:val="en-US" w:eastAsia="zh-CN"/>
        </w:rPr>
        <w:t>保证</w:t>
      </w:r>
      <w:r>
        <w:rPr>
          <w:rFonts w:hint="eastAsia" w:ascii="仿宋" w:hAnsi="仿宋" w:eastAsia="仿宋" w:cs="仿宋"/>
          <w:bCs/>
          <w:sz w:val="28"/>
          <w:szCs w:val="28"/>
          <w:highlight w:val="none"/>
        </w:rPr>
        <w:t>金中扣除。</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经甲方书面同意，</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向有关部门办理申请审批手续</w:t>
      </w:r>
      <w:r>
        <w:rPr>
          <w:rFonts w:hint="eastAsia" w:ascii="仿宋" w:hAnsi="仿宋" w:eastAsia="仿宋" w:cs="仿宋"/>
          <w:sz w:val="28"/>
          <w:szCs w:val="28"/>
          <w:highlight w:val="none"/>
          <w:lang w:val="en-US" w:eastAsia="zh-CN"/>
        </w:rPr>
        <w:t>后</w:t>
      </w:r>
      <w:r>
        <w:rPr>
          <w:rFonts w:hint="eastAsia" w:ascii="仿宋" w:hAnsi="仿宋" w:eastAsia="仿宋" w:cs="仿宋"/>
          <w:sz w:val="28"/>
          <w:szCs w:val="28"/>
          <w:highlight w:val="none"/>
        </w:rPr>
        <w:t>，乙方可在租赁鱼塘范围内建设安装水、电、道路、排灌等配套设施，乙方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负责依法报批、建设、管理及维护工作。</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乙方要依照我国相关法律法规及有关政策对鱼塘进行合理的开发使用，加强鱼塘的改良和整治，确保鱼塘质量不低于原有标准，保持鱼塘的地形、地貌，不得改变鱼塘性质。</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w:t>
      </w:r>
      <w:r>
        <w:rPr>
          <w:rFonts w:hint="eastAsia" w:ascii="仿宋" w:hAnsi="仿宋" w:eastAsia="仿宋" w:cs="仿宋"/>
          <w:sz w:val="28"/>
          <w:szCs w:val="28"/>
          <w:highlight w:val="none"/>
          <w:lang w:val="en-US" w:eastAsia="zh-CN"/>
        </w:rPr>
        <w:t>需</w:t>
      </w:r>
      <w:r>
        <w:rPr>
          <w:rFonts w:hint="eastAsia" w:ascii="仿宋" w:hAnsi="仿宋" w:eastAsia="仿宋" w:cs="仿宋"/>
          <w:sz w:val="28"/>
          <w:szCs w:val="28"/>
          <w:highlight w:val="none"/>
        </w:rPr>
        <w:t>在所租赁鱼塘上进行畜禽养殖，必须征得甲方书面同意并报甲方备案，甲方同意后，乙方需自行向有关部门办理有关证照手续。</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乙方在合同租赁期限内，应根据自己的养殖种类，自行做好相关生产的安排及计划，确保在合同期限届满时如期将鱼塘交还甲方。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合同期内，乙方不得擅自将鱼塘的全部或部分转租或提供给他人使用。如因特殊情况需要转租的，须经甲方书面同意。</w:t>
      </w:r>
    </w:p>
    <w:p>
      <w:pPr>
        <w:pStyle w:val="3"/>
        <w:keepNext w:val="0"/>
        <w:keepLines w:val="0"/>
        <w:pageBreakBefore w:val="0"/>
        <w:tabs>
          <w:tab w:val="left" w:pos="7560"/>
        </w:tabs>
        <w:kinsoku/>
        <w:wordWrap/>
        <w:overflowPunct/>
        <w:topLinePunct w:val="0"/>
        <w:autoSpaceDE/>
        <w:autoSpaceDN/>
        <w:bidi w:val="0"/>
        <w:adjustRightInd/>
        <w:snapToGrid/>
        <w:spacing w:line="560" w:lineRule="exact"/>
        <w:ind w:firstLine="630" w:firstLineChars="225"/>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乙方监管所租赁鱼塘的公共设施（如道路、排灌、电力等），并积极做好日常管理工作。合同期内公共设施</w:t>
      </w:r>
      <w:r>
        <w:rPr>
          <w:rFonts w:hint="eastAsia" w:ascii="仿宋" w:hAnsi="仿宋" w:eastAsia="仿宋" w:cs="仿宋"/>
          <w:sz w:val="28"/>
          <w:szCs w:val="28"/>
          <w:highlight w:val="none"/>
          <w:lang w:val="en-US" w:eastAsia="zh-CN"/>
        </w:rPr>
        <w:t>由</w:t>
      </w:r>
      <w:r>
        <w:rPr>
          <w:rFonts w:hint="eastAsia" w:ascii="仿宋" w:hAnsi="仿宋" w:eastAsia="仿宋" w:cs="仿宋"/>
          <w:sz w:val="28"/>
          <w:szCs w:val="28"/>
          <w:highlight w:val="none"/>
        </w:rPr>
        <w:t>甲、乙双方共同使用。</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不得以自然灾害受损为由拒交租金。</w:t>
      </w:r>
      <w:r>
        <w:rPr>
          <w:rFonts w:hint="eastAsia" w:ascii="仿宋" w:hAnsi="仿宋" w:eastAsia="仿宋" w:cs="仿宋"/>
          <w:sz w:val="28"/>
          <w:szCs w:val="28"/>
          <w:highlight w:val="none"/>
          <w:lang w:val="en-US" w:eastAsia="zh-CN"/>
        </w:rPr>
        <w:t xml:space="preserve"> </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乙方应按合同约定</w:t>
      </w:r>
      <w:r>
        <w:rPr>
          <w:rFonts w:hint="eastAsia" w:ascii="仿宋" w:hAnsi="仿宋" w:eastAsia="仿宋" w:cs="仿宋"/>
          <w:sz w:val="28"/>
          <w:szCs w:val="28"/>
          <w:highlight w:val="none"/>
          <w:lang w:val="en-US" w:eastAsia="zh-CN"/>
        </w:rPr>
        <w:t>的</w:t>
      </w:r>
      <w:r>
        <w:rPr>
          <w:rFonts w:hint="eastAsia" w:ascii="仿宋" w:hAnsi="仿宋" w:eastAsia="仿宋" w:cs="仿宋"/>
          <w:sz w:val="28"/>
          <w:szCs w:val="28"/>
          <w:highlight w:val="none"/>
        </w:rPr>
        <w:t>用途使用鱼塘，未经甲方书面同意不得挪作他用，且不得闲置、丢荒。</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合同期内，如乙方给鱼塘造成损害的，乙方应自行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如乙方给鱼塘造成永久性损害的，乙方应承担全部赔偿责任</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如乙方对鱼塘的损害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如因乙方给鱼塘造成损害导致有关自然人、部门、组织对甲方提起相关诉讼或行政处罚的，乙方应承担相关赔款和罚款，如甲方先行垫付的，有权向乙方全额追索，由此造成的费用（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乙方必须服从甲方的农田标准化改造规划和安排，配合甲方对所租赁鱼塘进行农田标准化建设。</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在合同期满或合同解除时，甲方无须通知乙方，乙方须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清场并交回鱼塘给甲方，并由甲方工作人员验收。</w:t>
      </w:r>
    </w:p>
    <w:p>
      <w:pPr>
        <w:keepNext w:val="0"/>
        <w:keepLines w:val="0"/>
        <w:pageBreakBefore w:val="0"/>
        <w:kinsoku/>
        <w:wordWrap/>
        <w:overflowPunct/>
        <w:topLinePunct w:val="0"/>
        <w:autoSpaceDE/>
        <w:autoSpaceDN/>
        <w:bidi w:val="0"/>
        <w:adjustRightInd/>
        <w:snapToGrid/>
        <w:spacing w:line="560" w:lineRule="exact"/>
        <w:ind w:firstLine="654"/>
        <w:textAlignment w:val="auto"/>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清场交回鱼塘的，视为乙方放弃鱼塘上的相关农作物及设施等的所有权，甲方有权处置，甲方可自行采取强制清场措施收回鱼塘另行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此外，</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（1）乙方不得使用水产养殖（或其它种养）禁用的药物及农药，经监管部门或其授权的单位检测质量不合格产品，应无条件销毁；</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2）乙方的养殖生产活动中不得对鱼塘及周边区域和居民生活区造成环境污染；</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28"/>
          <w:szCs w:val="28"/>
          <w:u w:val="singl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auto"/>
          <w:sz w:val="28"/>
          <w:szCs w:val="28"/>
          <w:highlight w:val="none"/>
          <w:lang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（1）乙方擅自改变鱼塘性质和用途的；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未征得甲方同意</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擅自将鱼塘的全部或部分转租或提供给他人使用</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（7）乙方给鱼塘造成损害未及时修复或给耕地造成永久性损害的；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进行农田标准化建设</w:t>
      </w:r>
      <w:r>
        <w:rPr>
          <w:rFonts w:hint="eastAsia" w:ascii="仿宋" w:hAnsi="仿宋" w:eastAsia="仿宋" w:cs="仿宋"/>
          <w:sz w:val="28"/>
          <w:szCs w:val="28"/>
          <w:highlight w:val="none"/>
          <w:lang w:val="en-US" w:eastAsia="zh-CN"/>
        </w:rPr>
        <w:t>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（9）乙方的养殖生产活动中对耕地或周边区域和居民生活区造成严重环境污染的；</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（10）其他行为</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eastAsia="zh-CN"/>
        </w:rPr>
        <w:t>。</w:t>
      </w:r>
    </w:p>
    <w:p>
      <w:pPr>
        <w:pStyle w:val="2"/>
        <w:ind w:left="0"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21.其他特别约定：</w:t>
      </w:r>
    </w:p>
    <w:p>
      <w:pPr>
        <w:keepNext w:val="0"/>
        <w:keepLines w:val="0"/>
        <w:pageBreakBefore w:val="0"/>
        <w:widowControl/>
        <w:kinsoku/>
        <w:wordWrap/>
        <w:overflowPunct/>
        <w:topLinePunct w:val="0"/>
        <w:autoSpaceDE/>
        <w:autoSpaceDN/>
        <w:bidi w:val="0"/>
        <w:adjustRightInd/>
        <w:snapToGrid/>
        <w:spacing w:line="288" w:lineRule="auto"/>
        <w:ind w:firstLine="560" w:firstLineChars="200"/>
        <w:jc w:val="both"/>
        <w:textAlignment w:val="auto"/>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kern w:val="0"/>
          <w:sz w:val="28"/>
          <w:szCs w:val="28"/>
          <w:u w:val="single"/>
          <w:lang w:val="en-US" w:eastAsia="zh-CN"/>
        </w:rPr>
        <w:t>（1）租赁期限采用“3年+3年”模式，租赁第三年末对项目进行验收，验收合格后乙方与甲方继续执行第4-6年租赁合同。</w:t>
      </w:r>
      <w:r>
        <w:rPr>
          <w:rFonts w:hint="eastAsia" w:ascii="仿宋" w:hAnsi="仿宋" w:eastAsia="仿宋" w:cs="仿宋"/>
          <w:color w:val="auto"/>
          <w:kern w:val="2"/>
          <w:sz w:val="28"/>
          <w:szCs w:val="28"/>
          <w:highlight w:val="none"/>
          <w:u w:val="single"/>
          <w:lang w:val="en-US" w:eastAsia="zh-CN" w:bidi="ar-SA"/>
        </w:rPr>
        <w:t>验收组根据《项目验收表》（附件）进行验收，验收结果大于或等于70分视为验收合格。验收合格后乙方与甲方继续执行第4-6年租赁合同，验收结果不合格，乙方承诺无条件提前解除第4-6年租赁合同。</w:t>
      </w:r>
    </w:p>
    <w:p>
      <w:pPr>
        <w:pStyle w:val="2"/>
        <w:ind w:firstLine="560" w:firstLineChars="200"/>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（2）本地块租赁期内面积需从事青蟹育苗、青蟹种蟹培育业务</w:t>
      </w:r>
    </w:p>
    <w:p>
      <w:pPr>
        <w:ind w:firstLine="560" w:firstLineChars="200"/>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single"/>
          <w:lang w:val="en-US" w:eastAsia="zh-CN"/>
        </w:rPr>
        <w:t>（3）乙方需提交项目建设方案，对所地块制定详细项目建设运营方案，包括但不限于以下内容：</w:t>
      </w:r>
    </w:p>
    <w:p>
      <w:pPr>
        <w:ind w:firstLine="560" w:firstLineChars="200"/>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single"/>
          <w:lang w:val="en-US" w:eastAsia="zh-CN"/>
        </w:rPr>
        <w:t>①项目背景及建设单位情况；</w:t>
      </w:r>
    </w:p>
    <w:p>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u w:val="single"/>
        </w:rPr>
        <w:t>②技术方案及规划建设内容；</w:t>
      </w:r>
    </w:p>
    <w:p>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u w:val="single"/>
        </w:rPr>
        <w:t>③建设计划；</w:t>
      </w:r>
    </w:p>
    <w:p>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u w:val="single"/>
        </w:rPr>
        <w:t>④投资估算及经济评价；</w:t>
      </w:r>
    </w:p>
    <w:p>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u w:val="single"/>
        </w:rPr>
        <w:t>⑤环保措施；</w:t>
      </w:r>
    </w:p>
    <w:p>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u w:val="single"/>
        </w:rPr>
        <w:t>⑥示范性技术推广计划；</w:t>
      </w:r>
    </w:p>
    <w:p>
      <w:pPr>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u w:val="single"/>
        </w:rPr>
        <w:t>⑦其它。</w:t>
      </w:r>
    </w:p>
    <w:p>
      <w:pPr>
        <w:widowControl/>
        <w:spacing w:line="560" w:lineRule="exact"/>
        <w:ind w:firstLine="560" w:firstLineChars="200"/>
        <w:jc w:val="both"/>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（4）乙方应守法经营，一旦发现乙方在运营过程中故意使用违禁药品等违法行为，视为违约，甲方有权利无条件解除合作合同，情节严重移送公安机关处理。</w:t>
      </w:r>
    </w:p>
    <w:p>
      <w:pPr>
        <w:widowControl/>
        <w:spacing w:line="560" w:lineRule="exact"/>
        <w:ind w:firstLine="560" w:firstLineChars="200"/>
        <w:jc w:val="both"/>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（5）乙方需配合园区建设池塘养殖水治理设施及棚户设施。</w:t>
      </w:r>
    </w:p>
    <w:p>
      <w:pPr>
        <w:widowControl/>
        <w:spacing w:line="560" w:lineRule="exact"/>
        <w:ind w:firstLine="560" w:firstLineChars="200"/>
        <w:jc w:val="both"/>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（6）乙方需根据渔业产业园整体规划设计进行园区基础设施改造，自行负责改造地块相邻的园区道路、排灌河等，其中配套园区主要道路路基宽度不少于12米，排灌河宽度不少于15米。</w:t>
      </w:r>
    </w:p>
    <w:p>
      <w:pPr>
        <w:widowControl/>
        <w:spacing w:line="560" w:lineRule="exact"/>
        <w:ind w:firstLine="560" w:firstLineChars="200"/>
        <w:jc w:val="both"/>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（7）乙方需按建设方案对项目进行建设，建设及运营过程需符合示范园区整体管理要求。</w:t>
      </w:r>
    </w:p>
    <w:p>
      <w:pPr>
        <w:widowControl/>
        <w:spacing w:line="560" w:lineRule="exact"/>
        <w:ind w:firstLine="560" w:firstLineChars="200"/>
        <w:jc w:val="left"/>
        <w:textAlignment w:val="baseline"/>
        <w:rPr>
          <w:rFonts w:hint="eastAsia" w:ascii="仿宋" w:hAnsi="仿宋" w:eastAsia="仿宋" w:cs="仿宋"/>
          <w:b/>
          <w:bCs/>
          <w:sz w:val="28"/>
          <w:szCs w:val="28"/>
          <w:u w:val="single"/>
          <w:lang w:val="en-US" w:eastAsia="zh-CN"/>
        </w:rPr>
      </w:pPr>
      <w:r>
        <w:rPr>
          <w:rFonts w:hint="eastAsia" w:ascii="仿宋" w:hAnsi="仿宋" w:eastAsia="仿宋" w:cs="仿宋"/>
          <w:sz w:val="28"/>
          <w:szCs w:val="28"/>
          <w:u w:val="single"/>
          <w:lang w:val="en-US" w:eastAsia="zh-CN"/>
        </w:rPr>
        <w:t>（8）</w:t>
      </w:r>
      <w:r>
        <w:rPr>
          <w:rFonts w:hint="eastAsia" w:ascii="仿宋" w:hAnsi="仿宋" w:eastAsia="仿宋" w:cs="仿宋"/>
          <w:b w:val="0"/>
          <w:bCs w:val="0"/>
          <w:sz w:val="28"/>
          <w:szCs w:val="28"/>
          <w:u w:val="single"/>
          <w:lang w:val="en-US" w:eastAsia="zh-CN"/>
        </w:rPr>
        <w:t>收益预期</w:t>
      </w:r>
      <w:r>
        <w:rPr>
          <w:rFonts w:hint="eastAsia" w:ascii="仿宋" w:hAnsi="仿宋" w:eastAsia="仿宋" w:cs="仿宋"/>
          <w:b/>
          <w:bCs/>
          <w:sz w:val="28"/>
          <w:szCs w:val="28"/>
          <w:u w:val="single"/>
          <w:lang w:val="en-US" w:eastAsia="zh-CN"/>
        </w:rPr>
        <w:t>：</w:t>
      </w:r>
    </w:p>
    <w:p>
      <w:pPr>
        <w:widowControl/>
        <w:spacing w:line="560" w:lineRule="exact"/>
        <w:ind w:firstLine="560" w:firstLineChars="200"/>
        <w:jc w:val="left"/>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①农业集团收取2000元/亩·年（每两年递增7%）的用地租金。</w:t>
      </w:r>
    </w:p>
    <w:p>
      <w:pPr>
        <w:widowControl/>
        <w:spacing w:line="560" w:lineRule="exact"/>
        <w:ind w:firstLine="560" w:firstLineChars="200"/>
        <w:jc w:val="left"/>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②渔业产业园公司提供项目用地管理便利以及专业人员参与生产运营过程中项目管理运营及新品种研发，并监管项目合作方固定资产的投入进度及实施效果。养殖企业及科研单位负责项目的投资、研发及日常生产管理工作。</w:t>
      </w:r>
    </w:p>
    <w:p>
      <w:pPr>
        <w:pStyle w:val="2"/>
        <w:ind w:firstLine="560" w:firstLineChars="200"/>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③基地建成后，预计年保种10个左右青蟹核心种群，年产5000对拟穴青蟹优质种蟹、0.5亿只青蟹优质种苗、800万只规格幼蟹蟹苗。</w:t>
      </w:r>
    </w:p>
    <w:p>
      <w:pPr>
        <w:widowControl/>
        <w:spacing w:line="560" w:lineRule="exact"/>
        <w:ind w:firstLine="560" w:firstLineChars="200"/>
        <w:jc w:val="left"/>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④渔业产业园公司全程参与项目新品种研发，并与项目合作各方共享新品种、新技术、新专利及新发表文章署名的权利。</w:t>
      </w:r>
    </w:p>
    <w:p>
      <w:pPr>
        <w:widowControl/>
        <w:spacing w:line="560" w:lineRule="exact"/>
        <w:ind w:firstLine="560" w:firstLineChars="200"/>
        <w:jc w:val="left"/>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⑤渔业产业园公司享有市场价8折的优惠价格采购当年生产产品20%的权利，享有同等价格优先采购项目生产产品的权利，享有独立的市场化推广、产业化布局和品牌营销的权利。</w:t>
      </w:r>
    </w:p>
    <w:p>
      <w:pPr>
        <w:widowControl/>
        <w:spacing w:line="560" w:lineRule="exact"/>
        <w:ind w:firstLine="560" w:firstLineChars="200"/>
        <w:jc w:val="left"/>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⑥风险承担：项目风险由乙方承担，如销售收益达不到项目预期，无论何种原因导致项目出现亏损，亏损风险均由乙方承担。乙方还需要负责生产安全、食品安全、养殖尾水达标排放等相关工作。</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22.</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鱼塘内产品及鱼塘</w:t>
      </w:r>
      <w:r>
        <w:rPr>
          <w:rFonts w:hint="eastAsia" w:ascii="仿宋" w:hAnsi="仿宋" w:eastAsia="仿宋" w:cs="仿宋"/>
          <w:sz w:val="28"/>
          <w:szCs w:val="28"/>
          <w:highlight w:val="none"/>
        </w:rPr>
        <w:t>上的相关作物及设施等的所有权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甲方应配合政府职能部门做好租赁鱼塘外围水利堤坝的建设、管理和维护工作，乙方应给予相应的配合。</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甲方应指导、监督、纠正乙方在生产经营过程中可能损害水利设施和公共利益的一切行为。</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合同期满，租赁范围的用水、用电、道路等基础设施全部归甲方所有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鱼塘的，甲方应提前</w:t>
      </w:r>
      <w:r>
        <w:rPr>
          <w:rFonts w:hint="eastAsia" w:ascii="仿宋" w:hAnsi="仿宋" w:eastAsia="仿宋" w:cs="仿宋"/>
          <w:color w:val="000000"/>
          <w:sz w:val="28"/>
          <w:szCs w:val="28"/>
          <w:highlight w:val="none"/>
        </w:rPr>
        <w:t>15</w:t>
      </w:r>
      <w:r>
        <w:rPr>
          <w:rFonts w:hint="eastAsia" w:ascii="仿宋" w:hAnsi="仿宋" w:eastAsia="仿宋" w:cs="仿宋"/>
          <w:color w:val="000000"/>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如乙方逾期交地的，本合同项下的履约保证金不予退还</w:t>
      </w:r>
      <w:r>
        <w:rPr>
          <w:rFonts w:hint="eastAsia" w:ascii="仿宋" w:hAnsi="仿宋" w:eastAsia="仿宋" w:cs="仿宋"/>
          <w:sz w:val="28"/>
          <w:szCs w:val="28"/>
          <w:highlight w:val="none"/>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1.乙方在收到甲方通知后30日内仍不退场交地的，</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w:t>
      </w:r>
      <w:r>
        <w:rPr>
          <w:rFonts w:hint="eastAsia" w:ascii="仿宋" w:hAnsi="仿宋" w:eastAsia="仿宋" w:cs="仿宋"/>
          <w:sz w:val="28"/>
          <w:szCs w:val="28"/>
          <w:highlight w:val="none"/>
          <w:lang w:val="en-US" w:eastAsia="zh-CN"/>
        </w:rPr>
        <w:t>鱼塘内</w:t>
      </w:r>
      <w:r>
        <w:rPr>
          <w:rFonts w:hint="eastAsia" w:ascii="仿宋" w:hAnsi="仿宋" w:eastAsia="仿宋" w:cs="仿宋"/>
          <w:sz w:val="28"/>
          <w:szCs w:val="28"/>
          <w:highlight w:val="none"/>
        </w:rPr>
        <w:t>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未按退场通知交还鱼塘的，属于违约，甲方有权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，并向乙方追偿甲方的其他一切损失。</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rPr>
        <w:t>如有相关补偿，则由征收单位对乙方投资的部分按照相关政策及广州市南沙区的有关规定对实际征收或征用农用地面积（不含机耕路、排水河、窦口水面、变压器房、生产大棚等）给予一次性青苗及地上附着物补偿。乙方未经合法手续擅自搭建的辅助设施、设备，以及非乙方出资建设的基础设施、设备，乙方无权要求补偿。租赁红线范围外面积的青苗及地上附着物补偿款归甲方所有，租赁红线范围内面积的青苗及地上附着物补偿款归甲 、乙双方所有，具体分配如下：</w:t>
      </w:r>
    </w:p>
    <w:p>
      <w:pPr>
        <w:widowControl/>
        <w:spacing w:line="560" w:lineRule="exact"/>
        <w:ind w:firstLine="560" w:firstLineChars="200"/>
        <w:jc w:val="both"/>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（1）征地红线范围内基础设施补偿归甲方所有；</w:t>
      </w:r>
    </w:p>
    <w:p>
      <w:pPr>
        <w:widowControl/>
        <w:spacing w:line="560" w:lineRule="exact"/>
        <w:ind w:firstLine="560" w:firstLineChars="200"/>
        <w:jc w:val="both"/>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（2）征地红线内青苗及地上附着物补偿费（含奖励费），甲方和乙方各收取50%；征地红线范围外，受影响耕地（鱼塘）青苗及地上附着物补偿由乙方收取；</w:t>
      </w:r>
    </w:p>
    <w:p>
      <w:pPr>
        <w:widowControl/>
        <w:spacing w:line="560" w:lineRule="exact"/>
        <w:ind w:firstLine="560" w:firstLineChars="200"/>
        <w:jc w:val="both"/>
        <w:textAlignment w:val="baseline"/>
        <w:rPr>
          <w:rFonts w:hint="eastAsia" w:ascii="仿宋" w:hAnsi="仿宋" w:eastAsia="仿宋" w:cs="仿宋"/>
          <w:sz w:val="28"/>
          <w:szCs w:val="28"/>
          <w:lang w:val="en-US" w:eastAsia="zh-CN"/>
        </w:rPr>
      </w:pPr>
      <w:r>
        <w:rPr>
          <w:rFonts w:hint="eastAsia" w:ascii="仿宋" w:hAnsi="仿宋" w:eastAsia="仿宋" w:cs="仿宋"/>
          <w:sz w:val="28"/>
          <w:szCs w:val="28"/>
          <w:u w:val="single"/>
          <w:lang w:val="en-US" w:eastAsia="zh-CN"/>
        </w:rPr>
        <w:t>（3）高压线路征收，涉及红线外高压线底受影响青苗补偿，甲方和乙方各收取50%。</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keepNext w:val="0"/>
        <w:keepLines w:val="0"/>
        <w:pageBreakBefore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keepNext w:val="0"/>
        <w:keepLines w:val="0"/>
        <w:pageBreakBefore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通知与送达</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甲方再次确认的送达地址为：广州市南沙区珠江街新广五路英豪街1号</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eastAsia="zh-CN"/>
        </w:rPr>
        <w:t>农业农村局</w:t>
      </w:r>
      <w:r>
        <w:rPr>
          <w:rFonts w:hint="eastAsia" w:ascii="仿宋" w:hAnsi="仿宋" w:eastAsia="仿宋" w:cs="仿宋"/>
          <w:sz w:val="28"/>
          <w:szCs w:val="28"/>
          <w:highlight w:val="none"/>
        </w:rPr>
        <w:t>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提示</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授权委托代表（签名）：              授权委托代表（签名）：</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账号：                              联系电话：       </w:t>
      </w:r>
    </w:p>
    <w:p>
      <w:pPr>
        <w:pStyle w:val="4"/>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合同签订日期：    年    月    日</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pPr>
        <w:numPr>
          <w:ilvl w:val="0"/>
          <w:numId w:val="0"/>
        </w:numPr>
        <w:ind w:firstLine="1400" w:firstLineChars="5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2.承租人身份证复印件</w:t>
      </w:r>
    </w:p>
    <w:p>
      <w:pPr>
        <w:pStyle w:val="2"/>
        <w:numPr>
          <w:ilvl w:val="0"/>
          <w:numId w:val="0"/>
        </w:numPr>
        <w:ind w:firstLine="1400" w:firstLineChars="5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3.项目验收表</w:t>
      </w:r>
    </w:p>
    <w:p>
      <w:pPr>
        <w:pStyle w:val="2"/>
        <w:numPr>
          <w:ilvl w:val="0"/>
          <w:numId w:val="0"/>
        </w:numPr>
        <w:ind w:firstLine="1400" w:firstLineChars="5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4.水治理承诺书</w:t>
      </w:r>
    </w:p>
    <w:p>
      <w:pPr>
        <w:pStyle w:val="2"/>
        <w:numPr>
          <w:ilvl w:val="0"/>
          <w:numId w:val="0"/>
        </w:numPr>
        <w:ind w:firstLine="1400" w:firstLineChars="5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5.土地交接记录表</w:t>
      </w:r>
    </w:p>
    <w:p>
      <w:pPr>
        <w:pStyle w:val="2"/>
        <w:numPr>
          <w:ilvl w:val="0"/>
          <w:numId w:val="0"/>
        </w:numPr>
        <w:ind w:firstLine="1400" w:firstLineChars="500"/>
        <w:rPr>
          <w:rFonts w:hint="eastAsia" w:ascii="仿宋" w:hAnsi="仿宋" w:eastAsia="仿宋" w:cs="仿宋"/>
          <w:sz w:val="28"/>
          <w:szCs w:val="28"/>
          <w:lang w:val="en-US" w:eastAsia="zh-CN"/>
        </w:rPr>
      </w:pPr>
    </w:p>
    <w:p>
      <w:pPr>
        <w:pStyle w:val="2"/>
        <w:numPr>
          <w:ilvl w:val="0"/>
          <w:numId w:val="0"/>
        </w:numPr>
        <w:ind w:firstLine="1400" w:firstLineChars="500"/>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附件1：附图</w:t>
      </w:r>
      <w:r>
        <w:rPr>
          <w:rFonts w:hint="eastAsia" w:ascii="仿宋" w:hAnsi="仿宋" w:eastAsia="仿宋" w:cs="仿宋"/>
          <w:sz w:val="28"/>
          <w:szCs w:val="28"/>
          <w:highlight w:val="none"/>
        </w:rPr>
        <w:t>（附所出租鱼塘的地块位置，并由承租人签名确认）</w:t>
      </w:r>
    </w:p>
    <w:p>
      <w:pPr>
        <w:pStyle w:val="2"/>
        <w:numPr>
          <w:ilvl w:val="0"/>
          <w:numId w:val="0"/>
        </w:numPr>
        <w:jc w:val="left"/>
      </w:pPr>
      <w:bookmarkStart w:id="0" w:name="_GoBack"/>
      <w:r>
        <w:drawing>
          <wp:inline distT="0" distB="0" distL="114300" distR="114300">
            <wp:extent cx="5012690" cy="3541395"/>
            <wp:effectExtent l="0" t="0" r="1651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l="1776" r="4737"/>
                    <a:stretch>
                      <a:fillRect/>
                    </a:stretch>
                  </pic:blipFill>
                  <pic:spPr>
                    <a:xfrm>
                      <a:off x="0" y="0"/>
                      <a:ext cx="5012690" cy="3541395"/>
                    </a:xfrm>
                    <a:prstGeom prst="rect">
                      <a:avLst/>
                    </a:prstGeom>
                    <a:noFill/>
                    <a:ln>
                      <a:noFill/>
                    </a:ln>
                  </pic:spPr>
                </pic:pic>
              </a:graphicData>
            </a:graphic>
          </wp:inline>
        </w:drawing>
      </w:r>
      <w:bookmarkEnd w:id="0"/>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附件2：承租人身份证复印件</w:t>
      </w: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附件3：项目验收表</w:t>
      </w:r>
    </w:p>
    <w:tbl>
      <w:tblPr>
        <w:tblStyle w:val="5"/>
        <w:tblW w:w="1007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75"/>
        <w:gridCol w:w="1034"/>
        <w:gridCol w:w="891"/>
        <w:gridCol w:w="6548"/>
        <w:gridCol w:w="92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675" w:type="dxa"/>
            <w:tcBorders>
              <w:top w:val="single" w:color="auto" w:sz="2" w:space="0"/>
              <w:left w:val="single" w:color="auto" w:sz="2" w:space="0"/>
              <w:bottom w:val="single" w:color="auto" w:sz="2" w:space="0"/>
              <w:right w:val="single" w:color="auto" w:sz="4" w:space="0"/>
            </w:tcBorders>
            <w:noWrap w:val="0"/>
            <w:vAlign w:val="center"/>
          </w:tcPr>
          <w:p>
            <w:pPr>
              <w:pStyle w:val="7"/>
              <w:adjustRightInd w:val="0"/>
              <w:snapToGrid w:val="0"/>
              <w:jc w:val="center"/>
              <w:rPr>
                <w:rFonts w:hint="eastAsia" w:ascii="宋体" w:hAnsi="宋体" w:cs="宋体"/>
                <w:b/>
                <w:snapToGrid w:val="0"/>
                <w:color w:val="auto"/>
                <w:kern w:val="0"/>
                <w:sz w:val="30"/>
                <w:szCs w:val="30"/>
              </w:rPr>
            </w:pPr>
            <w:r>
              <w:rPr>
                <w:rFonts w:hint="eastAsia" w:ascii="宋体" w:hAnsi="宋体" w:cs="宋体"/>
                <w:b/>
                <w:snapToGrid w:val="0"/>
                <w:color w:val="auto"/>
                <w:kern w:val="0"/>
                <w:sz w:val="30"/>
                <w:szCs w:val="30"/>
              </w:rPr>
              <w:t>序号</w:t>
            </w:r>
          </w:p>
        </w:tc>
        <w:tc>
          <w:tcPr>
            <w:tcW w:w="1034" w:type="dxa"/>
            <w:tcBorders>
              <w:top w:val="single" w:color="auto" w:sz="2" w:space="0"/>
              <w:left w:val="single" w:color="auto" w:sz="2" w:space="0"/>
              <w:bottom w:val="single" w:color="auto" w:sz="2" w:space="0"/>
              <w:right w:val="single" w:color="auto" w:sz="4" w:space="0"/>
            </w:tcBorders>
            <w:noWrap w:val="0"/>
            <w:vAlign w:val="center"/>
          </w:tcPr>
          <w:p>
            <w:pPr>
              <w:pStyle w:val="7"/>
              <w:adjustRightInd w:val="0"/>
              <w:snapToGrid w:val="0"/>
              <w:jc w:val="center"/>
              <w:rPr>
                <w:rFonts w:hint="eastAsia" w:ascii="宋体" w:hAnsi="宋体" w:cs="宋体"/>
                <w:b/>
                <w:snapToGrid w:val="0"/>
                <w:color w:val="auto"/>
                <w:kern w:val="0"/>
                <w:sz w:val="30"/>
                <w:szCs w:val="30"/>
              </w:rPr>
            </w:pPr>
            <w:r>
              <w:rPr>
                <w:rFonts w:hint="eastAsia" w:ascii="宋体" w:hAnsi="宋体" w:cs="宋体"/>
                <w:b/>
                <w:snapToGrid w:val="0"/>
                <w:color w:val="auto"/>
                <w:kern w:val="0"/>
                <w:sz w:val="30"/>
                <w:szCs w:val="30"/>
              </w:rPr>
              <w:t>评审项目</w:t>
            </w:r>
          </w:p>
        </w:tc>
        <w:tc>
          <w:tcPr>
            <w:tcW w:w="7439" w:type="dxa"/>
            <w:gridSpan w:val="2"/>
            <w:tcBorders>
              <w:top w:val="single" w:color="auto" w:sz="4" w:space="0"/>
              <w:left w:val="single" w:color="auto" w:sz="4" w:space="0"/>
              <w:bottom w:val="single" w:color="auto" w:sz="4" w:space="0"/>
              <w:right w:val="single" w:color="auto" w:sz="4" w:space="0"/>
            </w:tcBorders>
            <w:noWrap w:val="0"/>
            <w:vAlign w:val="center"/>
          </w:tcPr>
          <w:p>
            <w:pPr>
              <w:pStyle w:val="7"/>
              <w:adjustRightInd w:val="0"/>
              <w:snapToGrid w:val="0"/>
              <w:jc w:val="center"/>
              <w:rPr>
                <w:rFonts w:hint="eastAsia" w:ascii="宋体" w:hAnsi="宋体" w:cs="宋体"/>
                <w:b/>
                <w:snapToGrid w:val="0"/>
                <w:color w:val="auto"/>
                <w:kern w:val="0"/>
                <w:sz w:val="30"/>
                <w:szCs w:val="30"/>
              </w:rPr>
            </w:pPr>
            <w:r>
              <w:rPr>
                <w:rFonts w:hint="eastAsia" w:ascii="宋体" w:hAnsi="宋体" w:cs="宋体"/>
                <w:b/>
                <w:snapToGrid w:val="0"/>
                <w:color w:val="auto"/>
                <w:kern w:val="0"/>
                <w:sz w:val="30"/>
                <w:szCs w:val="30"/>
              </w:rPr>
              <w:t>评分细则</w:t>
            </w:r>
          </w:p>
        </w:tc>
        <w:tc>
          <w:tcPr>
            <w:tcW w:w="926" w:type="dxa"/>
            <w:tcBorders>
              <w:top w:val="single" w:color="auto" w:sz="4" w:space="0"/>
              <w:left w:val="single" w:color="auto" w:sz="4" w:space="0"/>
              <w:bottom w:val="single" w:color="auto" w:sz="4" w:space="0"/>
              <w:right w:val="single" w:color="auto" w:sz="4" w:space="0"/>
            </w:tcBorders>
            <w:noWrap w:val="0"/>
            <w:vAlign w:val="center"/>
          </w:tcPr>
          <w:p>
            <w:pPr>
              <w:pStyle w:val="7"/>
              <w:adjustRightInd w:val="0"/>
              <w:snapToGrid w:val="0"/>
              <w:jc w:val="center"/>
              <w:rPr>
                <w:rFonts w:hint="eastAsia" w:ascii="宋体" w:hAnsi="宋体" w:cs="宋体"/>
                <w:b/>
                <w:snapToGrid w:val="0"/>
                <w:color w:val="auto"/>
                <w:kern w:val="0"/>
                <w:sz w:val="30"/>
                <w:szCs w:val="30"/>
              </w:rPr>
            </w:pPr>
            <w:r>
              <w:rPr>
                <w:rFonts w:hint="eastAsia" w:ascii="宋体" w:hAnsi="宋体" w:cs="宋体"/>
                <w:b/>
                <w:snapToGrid w:val="0"/>
                <w:color w:val="auto"/>
                <w:kern w:val="0"/>
                <w:sz w:val="30"/>
                <w:szCs w:val="30"/>
              </w:rPr>
              <w:t>最高分值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86" w:hRule="atLeast"/>
          <w:jc w:val="center"/>
        </w:trPr>
        <w:tc>
          <w:tcPr>
            <w:tcW w:w="675" w:type="dxa"/>
            <w:tcBorders>
              <w:top w:val="single" w:color="auto" w:sz="4" w:space="0"/>
              <w:left w:val="single" w:color="auto" w:sz="2" w:space="0"/>
              <w:right w:val="single" w:color="auto" w:sz="2" w:space="0"/>
            </w:tcBorders>
            <w:noWrap w:val="0"/>
            <w:vAlign w:val="center"/>
          </w:tcPr>
          <w:p>
            <w:pPr>
              <w:pStyle w:val="7"/>
              <w:adjustRightInd w:val="0"/>
              <w:snapToGrid w:val="0"/>
              <w:jc w:val="center"/>
              <w:rPr>
                <w:rFonts w:hint="eastAsia" w:ascii="宋体" w:hAnsi="宋体" w:cs="宋体"/>
                <w:b/>
                <w:bCs/>
                <w:color w:val="auto"/>
                <w:sz w:val="24"/>
                <w:szCs w:val="24"/>
              </w:rPr>
            </w:pPr>
            <w:r>
              <w:rPr>
                <w:rFonts w:hint="eastAsia" w:ascii="宋体" w:hAnsi="宋体" w:cs="宋体"/>
                <w:b/>
                <w:bCs/>
                <w:color w:val="auto"/>
                <w:sz w:val="24"/>
                <w:szCs w:val="24"/>
              </w:rPr>
              <w:t>1</w:t>
            </w:r>
          </w:p>
        </w:tc>
        <w:tc>
          <w:tcPr>
            <w:tcW w:w="1034" w:type="dxa"/>
            <w:tcBorders>
              <w:top w:val="single" w:color="auto" w:sz="4" w:space="0"/>
              <w:left w:val="single" w:color="auto" w:sz="2" w:space="0"/>
              <w:right w:val="single" w:color="auto" w:sz="2" w:space="0"/>
            </w:tcBorders>
            <w:noWrap w:val="0"/>
            <w:vAlign w:val="center"/>
          </w:tcPr>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项目方案实施评价</w:t>
            </w:r>
          </w:p>
        </w:tc>
        <w:tc>
          <w:tcPr>
            <w:tcW w:w="7439" w:type="dxa"/>
            <w:gridSpan w:val="2"/>
            <w:tcBorders>
              <w:top w:val="single" w:color="auto" w:sz="4" w:space="0"/>
              <w:left w:val="single" w:color="auto" w:sz="4" w:space="0"/>
              <w:bottom w:val="single" w:color="auto" w:sz="2" w:space="0"/>
              <w:right w:val="single" w:color="auto" w:sz="4" w:space="0"/>
            </w:tcBorders>
            <w:noWrap w:val="0"/>
            <w:vAlign w:val="center"/>
          </w:tcPr>
          <w:p>
            <w:pPr>
              <w:pStyle w:val="7"/>
              <w:numPr>
                <w:ilvl w:val="0"/>
                <w:numId w:val="3"/>
              </w:numPr>
              <w:adjustRightInd w:val="0"/>
              <w:snapToGrid w:val="0"/>
              <w:rPr>
                <w:rFonts w:hint="eastAsia" w:ascii="宋体" w:hAnsi="宋体" w:cs="宋体"/>
                <w:color w:val="auto"/>
                <w:sz w:val="24"/>
                <w:szCs w:val="24"/>
              </w:rPr>
            </w:pPr>
            <w:r>
              <w:rPr>
                <w:rFonts w:hint="eastAsia" w:ascii="宋体" w:hAnsi="宋体" w:cs="宋体"/>
                <w:color w:val="auto"/>
                <w:sz w:val="24"/>
                <w:szCs w:val="24"/>
              </w:rPr>
              <w:t>项目单位完全按中标项目方案或比中标项目方案更高的标准对项目进行建设，所有项目均按要求实施，且实施情况优良，得30分；</w:t>
            </w:r>
          </w:p>
          <w:p>
            <w:pPr>
              <w:pStyle w:val="7"/>
              <w:numPr>
                <w:ilvl w:val="0"/>
                <w:numId w:val="3"/>
              </w:numPr>
              <w:adjustRightInd w:val="0"/>
              <w:snapToGrid w:val="0"/>
              <w:rPr>
                <w:rFonts w:hint="eastAsia" w:ascii="宋体" w:hAnsi="宋体" w:cs="宋体"/>
                <w:color w:val="auto"/>
                <w:sz w:val="24"/>
                <w:szCs w:val="24"/>
              </w:rPr>
            </w:pPr>
            <w:r>
              <w:rPr>
                <w:rFonts w:hint="eastAsia" w:ascii="宋体" w:hAnsi="宋体" w:cs="宋体"/>
                <w:color w:val="auto"/>
                <w:sz w:val="24"/>
                <w:szCs w:val="24"/>
              </w:rPr>
              <w:t>项目单位基本按中标项目方案对项目进行建设，部分项目没有按要求实施，或实施情况不佳，得20分；</w:t>
            </w:r>
          </w:p>
          <w:p>
            <w:pPr>
              <w:pStyle w:val="7"/>
              <w:numPr>
                <w:ilvl w:val="0"/>
                <w:numId w:val="3"/>
              </w:numPr>
              <w:adjustRightInd w:val="0"/>
              <w:snapToGrid w:val="0"/>
              <w:rPr>
                <w:rFonts w:hint="eastAsia" w:ascii="宋体" w:hAnsi="宋体" w:cs="宋体"/>
                <w:color w:val="auto"/>
                <w:sz w:val="24"/>
                <w:szCs w:val="24"/>
              </w:rPr>
            </w:pPr>
            <w:r>
              <w:rPr>
                <w:rFonts w:hint="eastAsia" w:ascii="宋体" w:hAnsi="宋体" w:cs="宋体"/>
                <w:color w:val="auto"/>
                <w:sz w:val="24"/>
                <w:szCs w:val="24"/>
              </w:rPr>
              <w:t>项目单位仅有部分项目按要求实施，得10分；</w:t>
            </w:r>
          </w:p>
          <w:p>
            <w:pPr>
              <w:pStyle w:val="7"/>
              <w:numPr>
                <w:ilvl w:val="0"/>
                <w:numId w:val="3"/>
              </w:numPr>
              <w:adjustRightInd w:val="0"/>
              <w:snapToGrid w:val="0"/>
              <w:rPr>
                <w:rFonts w:hint="eastAsia" w:ascii="宋体" w:hAnsi="宋体" w:cs="宋体"/>
                <w:color w:val="auto"/>
                <w:sz w:val="24"/>
                <w:szCs w:val="24"/>
              </w:rPr>
            </w:pPr>
            <w:r>
              <w:rPr>
                <w:rFonts w:hint="eastAsia" w:ascii="宋体" w:hAnsi="宋体" w:cs="宋体"/>
                <w:color w:val="auto"/>
                <w:sz w:val="24"/>
                <w:szCs w:val="24"/>
              </w:rPr>
              <w:t>项目单位没有按中标项目方案对项目进行建设，不得分。</w:t>
            </w:r>
          </w:p>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备注：验收组根据建设项目现场实际情况及项目单位需提供项目证明材料对项目进行客观评价。</w:t>
            </w:r>
          </w:p>
        </w:tc>
        <w:tc>
          <w:tcPr>
            <w:tcW w:w="926" w:type="dxa"/>
            <w:tcBorders>
              <w:top w:val="single" w:color="auto" w:sz="4" w:space="0"/>
              <w:left w:val="single" w:color="auto" w:sz="4" w:space="0"/>
              <w:right w:val="single" w:color="auto" w:sz="4" w:space="0"/>
            </w:tcBorders>
            <w:noWrap w:val="0"/>
            <w:vAlign w:val="center"/>
          </w:tcPr>
          <w:p>
            <w:pPr>
              <w:pStyle w:val="7"/>
              <w:adjustRightInd w:val="0"/>
              <w:snapToGrid w:val="0"/>
              <w:jc w:val="center"/>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62" w:hRule="atLeast"/>
          <w:jc w:val="center"/>
        </w:trPr>
        <w:tc>
          <w:tcPr>
            <w:tcW w:w="675" w:type="dxa"/>
            <w:vMerge w:val="restart"/>
            <w:tcBorders>
              <w:left w:val="single" w:color="auto" w:sz="2" w:space="0"/>
              <w:right w:val="single" w:color="auto" w:sz="2" w:space="0"/>
            </w:tcBorders>
            <w:noWrap w:val="0"/>
            <w:vAlign w:val="center"/>
          </w:tcPr>
          <w:p>
            <w:pPr>
              <w:pStyle w:val="7"/>
              <w:adjustRightInd w:val="0"/>
              <w:snapToGrid w:val="0"/>
              <w:jc w:val="center"/>
              <w:rPr>
                <w:rFonts w:hint="eastAsia" w:ascii="宋体" w:hAnsi="宋体" w:cs="宋体"/>
                <w:b/>
                <w:bCs/>
                <w:color w:val="auto"/>
                <w:sz w:val="24"/>
                <w:szCs w:val="24"/>
              </w:rPr>
            </w:pPr>
            <w:r>
              <w:rPr>
                <w:rFonts w:hint="eastAsia" w:ascii="宋体" w:hAnsi="宋体" w:cs="宋体"/>
                <w:b/>
                <w:bCs/>
                <w:color w:val="auto"/>
                <w:sz w:val="24"/>
                <w:szCs w:val="24"/>
              </w:rPr>
              <w:t>2</w:t>
            </w:r>
          </w:p>
        </w:tc>
        <w:tc>
          <w:tcPr>
            <w:tcW w:w="1034" w:type="dxa"/>
            <w:vMerge w:val="restart"/>
            <w:tcBorders>
              <w:left w:val="single" w:color="auto" w:sz="2" w:space="0"/>
              <w:right w:val="single" w:color="auto" w:sz="2" w:space="0"/>
            </w:tcBorders>
            <w:noWrap w:val="0"/>
            <w:vAlign w:val="center"/>
          </w:tcPr>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投资强度及产值</w:t>
            </w:r>
          </w:p>
        </w:tc>
        <w:tc>
          <w:tcPr>
            <w:tcW w:w="891" w:type="dxa"/>
            <w:tcBorders>
              <w:top w:val="single" w:color="auto" w:sz="4" w:space="0"/>
              <w:left w:val="single" w:color="auto" w:sz="4" w:space="0"/>
              <w:right w:val="single" w:color="auto" w:sz="4" w:space="0"/>
            </w:tcBorders>
            <w:noWrap w:val="0"/>
            <w:vAlign w:val="center"/>
          </w:tcPr>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投资强度</w:t>
            </w:r>
          </w:p>
        </w:tc>
        <w:tc>
          <w:tcPr>
            <w:tcW w:w="6548" w:type="dxa"/>
            <w:tcBorders>
              <w:top w:val="single" w:color="auto" w:sz="4" w:space="0"/>
              <w:left w:val="single" w:color="auto" w:sz="4" w:space="0"/>
              <w:bottom w:val="single" w:color="auto" w:sz="2" w:space="0"/>
              <w:right w:val="single" w:color="auto" w:sz="4" w:space="0"/>
            </w:tcBorders>
            <w:noWrap w:val="0"/>
            <w:vAlign w:val="center"/>
          </w:tcPr>
          <w:p>
            <w:pPr>
              <w:pStyle w:val="7"/>
              <w:numPr>
                <w:ilvl w:val="0"/>
                <w:numId w:val="4"/>
              </w:numPr>
              <w:adjustRightInd w:val="0"/>
              <w:snapToGrid w:val="0"/>
              <w:rPr>
                <w:rFonts w:hint="eastAsia" w:ascii="宋体" w:hAnsi="宋体" w:cs="宋体"/>
                <w:color w:val="auto"/>
                <w:sz w:val="24"/>
                <w:szCs w:val="24"/>
              </w:rPr>
            </w:pPr>
            <w:r>
              <w:rPr>
                <w:rFonts w:hint="eastAsia" w:ascii="宋体" w:hAnsi="宋体" w:cs="宋体"/>
                <w:color w:val="auto"/>
                <w:sz w:val="24"/>
                <w:szCs w:val="24"/>
              </w:rPr>
              <w:t>前三年项目投资强度大于或等于</w:t>
            </w:r>
            <w:r>
              <w:rPr>
                <w:rFonts w:hint="eastAsia" w:ascii="宋体" w:hAnsi="宋体" w:cs="宋体"/>
                <w:color w:val="auto"/>
                <w:sz w:val="24"/>
                <w:szCs w:val="24"/>
                <w:lang w:val="en-US" w:eastAsia="zh-CN"/>
              </w:rPr>
              <w:t>3</w:t>
            </w:r>
            <w:r>
              <w:rPr>
                <w:rFonts w:hint="eastAsia" w:ascii="宋体" w:hAnsi="宋体" w:cs="宋体"/>
                <w:color w:val="auto"/>
                <w:sz w:val="24"/>
                <w:szCs w:val="24"/>
              </w:rPr>
              <w:t>万元/亩的，得20分；</w:t>
            </w:r>
          </w:p>
          <w:p>
            <w:pPr>
              <w:pStyle w:val="7"/>
              <w:numPr>
                <w:ilvl w:val="0"/>
                <w:numId w:val="4"/>
              </w:numPr>
              <w:adjustRightInd w:val="0"/>
              <w:snapToGrid w:val="0"/>
              <w:rPr>
                <w:rFonts w:hint="eastAsia" w:ascii="宋体" w:hAnsi="宋体" w:cs="宋体"/>
                <w:color w:val="auto"/>
                <w:sz w:val="24"/>
                <w:szCs w:val="24"/>
              </w:rPr>
            </w:pPr>
            <w:r>
              <w:rPr>
                <w:rFonts w:hint="eastAsia" w:ascii="宋体" w:hAnsi="宋体" w:cs="宋体"/>
                <w:color w:val="auto"/>
                <w:sz w:val="24"/>
                <w:szCs w:val="24"/>
              </w:rPr>
              <w:t>前三年项目投资强度，较</w:t>
            </w:r>
            <w:r>
              <w:rPr>
                <w:rFonts w:hint="eastAsia" w:ascii="宋体" w:hAnsi="宋体" w:cs="宋体"/>
                <w:color w:val="auto"/>
                <w:sz w:val="24"/>
                <w:szCs w:val="24"/>
                <w:lang w:val="en-US" w:eastAsia="zh-CN"/>
              </w:rPr>
              <w:t>3</w:t>
            </w:r>
            <w:r>
              <w:rPr>
                <w:rFonts w:hint="eastAsia" w:ascii="宋体" w:hAnsi="宋体" w:cs="宋体"/>
                <w:color w:val="auto"/>
                <w:sz w:val="24"/>
                <w:szCs w:val="24"/>
              </w:rPr>
              <w:t>万元/亩每减少</w:t>
            </w:r>
            <w:r>
              <w:rPr>
                <w:rFonts w:hint="eastAsia" w:ascii="宋体" w:hAnsi="宋体" w:cs="宋体"/>
                <w:color w:val="auto"/>
                <w:sz w:val="24"/>
                <w:szCs w:val="24"/>
                <w:lang w:val="en-US" w:eastAsia="zh-CN"/>
              </w:rPr>
              <w:t>3</w:t>
            </w:r>
            <w:r>
              <w:rPr>
                <w:rFonts w:hint="eastAsia" w:ascii="宋体" w:hAnsi="宋体" w:cs="宋体"/>
                <w:color w:val="auto"/>
                <w:sz w:val="24"/>
                <w:szCs w:val="24"/>
              </w:rPr>
              <w:t>000元/亩的减2分，不满</w:t>
            </w:r>
            <w:r>
              <w:rPr>
                <w:rFonts w:hint="eastAsia" w:ascii="宋体" w:hAnsi="宋体" w:cs="宋体"/>
                <w:color w:val="auto"/>
                <w:sz w:val="24"/>
                <w:szCs w:val="24"/>
                <w:lang w:val="en-US" w:eastAsia="zh-CN"/>
              </w:rPr>
              <w:t>3</w:t>
            </w:r>
            <w:r>
              <w:rPr>
                <w:rFonts w:hint="eastAsia" w:ascii="宋体" w:hAnsi="宋体" w:cs="宋体"/>
                <w:color w:val="auto"/>
                <w:sz w:val="24"/>
                <w:szCs w:val="24"/>
              </w:rPr>
              <w:t>000元/亩人按2000元/亩计算，本项最低0分；</w:t>
            </w:r>
          </w:p>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备注：验收组根据建设项目现场实际情况及项目单位需提供项目证明材料对投资强度进行客观评价。</w:t>
            </w:r>
          </w:p>
        </w:tc>
        <w:tc>
          <w:tcPr>
            <w:tcW w:w="926" w:type="dxa"/>
            <w:tcBorders>
              <w:left w:val="single" w:color="auto" w:sz="4" w:space="0"/>
              <w:right w:val="single" w:color="auto" w:sz="4" w:space="0"/>
            </w:tcBorders>
            <w:noWrap w:val="0"/>
            <w:vAlign w:val="center"/>
          </w:tcPr>
          <w:p>
            <w:pPr>
              <w:pStyle w:val="7"/>
              <w:adjustRightInd w:val="0"/>
              <w:snapToGrid w:val="0"/>
              <w:jc w:val="center"/>
              <w:rPr>
                <w:rFonts w:hint="eastAsia" w:ascii="宋体" w:hAnsi="宋体" w:cs="宋体"/>
                <w:bCs/>
                <w:snapToGrid w:val="0"/>
                <w:color w:val="auto"/>
                <w:kern w:val="0"/>
                <w:sz w:val="24"/>
                <w:szCs w:val="24"/>
              </w:rPr>
            </w:pPr>
            <w:r>
              <w:rPr>
                <w:rFonts w:hint="eastAsia" w:ascii="宋体" w:hAnsi="宋体" w:cs="宋体"/>
                <w:bCs/>
                <w:snapToGrid w:val="0"/>
                <w:color w:val="auto"/>
                <w:kern w:val="0"/>
                <w:sz w:val="24"/>
                <w:szCs w:val="24"/>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4" w:hRule="atLeast"/>
          <w:jc w:val="center"/>
        </w:trPr>
        <w:tc>
          <w:tcPr>
            <w:tcW w:w="675" w:type="dxa"/>
            <w:vMerge w:val="continue"/>
            <w:tcBorders>
              <w:left w:val="single" w:color="auto" w:sz="2" w:space="0"/>
              <w:right w:val="single" w:color="auto" w:sz="2" w:space="0"/>
            </w:tcBorders>
            <w:noWrap w:val="0"/>
            <w:vAlign w:val="center"/>
          </w:tcPr>
          <w:p>
            <w:pPr>
              <w:pStyle w:val="7"/>
              <w:adjustRightInd w:val="0"/>
              <w:snapToGrid w:val="0"/>
              <w:jc w:val="center"/>
              <w:rPr>
                <w:rFonts w:hint="eastAsia" w:ascii="宋体" w:hAnsi="宋体" w:cs="宋体"/>
                <w:b/>
                <w:bCs/>
                <w:color w:val="auto"/>
                <w:sz w:val="24"/>
                <w:szCs w:val="24"/>
              </w:rPr>
            </w:pPr>
          </w:p>
        </w:tc>
        <w:tc>
          <w:tcPr>
            <w:tcW w:w="1034" w:type="dxa"/>
            <w:vMerge w:val="continue"/>
            <w:tcBorders>
              <w:left w:val="single" w:color="auto" w:sz="2" w:space="0"/>
              <w:right w:val="single" w:color="auto" w:sz="2" w:space="0"/>
            </w:tcBorders>
            <w:noWrap w:val="0"/>
            <w:vAlign w:val="center"/>
          </w:tcPr>
          <w:p>
            <w:pPr>
              <w:pStyle w:val="7"/>
              <w:adjustRightInd w:val="0"/>
              <w:snapToGrid w:val="0"/>
              <w:rPr>
                <w:rFonts w:hint="eastAsia" w:ascii="宋体" w:hAnsi="宋体" w:cs="宋体"/>
                <w:color w:val="auto"/>
                <w:sz w:val="24"/>
                <w:szCs w:val="24"/>
              </w:rPr>
            </w:pPr>
          </w:p>
        </w:tc>
        <w:tc>
          <w:tcPr>
            <w:tcW w:w="891" w:type="dxa"/>
            <w:tcBorders>
              <w:top w:val="single" w:color="auto" w:sz="4" w:space="0"/>
              <w:left w:val="single" w:color="auto" w:sz="4" w:space="0"/>
              <w:bottom w:val="single" w:color="auto" w:sz="2" w:space="0"/>
              <w:right w:val="single" w:color="auto" w:sz="4" w:space="0"/>
            </w:tcBorders>
            <w:noWrap w:val="0"/>
            <w:vAlign w:val="center"/>
          </w:tcPr>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产值</w:t>
            </w:r>
          </w:p>
        </w:tc>
        <w:tc>
          <w:tcPr>
            <w:tcW w:w="6548" w:type="dxa"/>
            <w:tcBorders>
              <w:top w:val="single" w:color="auto" w:sz="4" w:space="0"/>
              <w:left w:val="single" w:color="auto" w:sz="4" w:space="0"/>
              <w:bottom w:val="single" w:color="auto" w:sz="2" w:space="0"/>
              <w:right w:val="single" w:color="auto" w:sz="4" w:space="0"/>
            </w:tcBorders>
            <w:noWrap w:val="0"/>
            <w:vAlign w:val="center"/>
          </w:tcPr>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1、第三年项目年产值大于或等于</w:t>
            </w:r>
            <w:r>
              <w:rPr>
                <w:rFonts w:hint="eastAsia" w:ascii="宋体" w:hAnsi="宋体" w:cs="宋体"/>
                <w:color w:val="auto"/>
                <w:sz w:val="24"/>
                <w:szCs w:val="24"/>
                <w:lang w:val="en-US" w:eastAsia="zh-CN"/>
              </w:rPr>
              <w:t>5</w:t>
            </w:r>
            <w:r>
              <w:rPr>
                <w:rFonts w:hint="eastAsia" w:ascii="宋体" w:hAnsi="宋体" w:cs="宋体"/>
                <w:color w:val="auto"/>
                <w:sz w:val="24"/>
                <w:szCs w:val="24"/>
              </w:rPr>
              <w:t>万元/亩的，得</w:t>
            </w:r>
            <w:r>
              <w:rPr>
                <w:rFonts w:hint="eastAsia" w:ascii="宋体" w:hAnsi="宋体" w:cs="宋体"/>
                <w:color w:val="auto"/>
                <w:sz w:val="24"/>
                <w:szCs w:val="24"/>
                <w:lang w:val="en-US" w:eastAsia="zh-CN"/>
              </w:rPr>
              <w:t>1</w:t>
            </w:r>
            <w:r>
              <w:rPr>
                <w:rFonts w:hint="eastAsia" w:ascii="宋体" w:hAnsi="宋体" w:cs="宋体"/>
                <w:color w:val="auto"/>
                <w:sz w:val="24"/>
                <w:szCs w:val="24"/>
              </w:rPr>
              <w:t>0分；</w:t>
            </w:r>
          </w:p>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2、第三年项目年产值，较</w:t>
            </w:r>
            <w:r>
              <w:rPr>
                <w:rFonts w:hint="eastAsia" w:ascii="宋体" w:hAnsi="宋体" w:cs="宋体"/>
                <w:color w:val="auto"/>
                <w:sz w:val="24"/>
                <w:szCs w:val="24"/>
                <w:lang w:val="en-US" w:eastAsia="zh-CN"/>
              </w:rPr>
              <w:t>5</w:t>
            </w:r>
            <w:r>
              <w:rPr>
                <w:rFonts w:hint="eastAsia" w:ascii="宋体" w:hAnsi="宋体" w:cs="宋体"/>
                <w:color w:val="auto"/>
                <w:sz w:val="24"/>
                <w:szCs w:val="24"/>
              </w:rPr>
              <w:t>万元/亩每减少</w:t>
            </w:r>
            <w:r>
              <w:rPr>
                <w:rFonts w:hint="eastAsia" w:ascii="宋体" w:hAnsi="宋体" w:cs="宋体"/>
                <w:color w:val="auto"/>
                <w:sz w:val="24"/>
                <w:szCs w:val="24"/>
                <w:lang w:val="en-US" w:eastAsia="zh-CN"/>
              </w:rPr>
              <w:t>2</w:t>
            </w:r>
            <w:r>
              <w:rPr>
                <w:rFonts w:hint="eastAsia" w:ascii="宋体" w:hAnsi="宋体" w:cs="宋体"/>
                <w:color w:val="auto"/>
                <w:sz w:val="24"/>
                <w:szCs w:val="24"/>
              </w:rPr>
              <w:t>000元/亩的减1分，不满</w:t>
            </w:r>
            <w:r>
              <w:rPr>
                <w:rFonts w:hint="eastAsia" w:ascii="宋体" w:hAnsi="宋体" w:cs="宋体"/>
                <w:color w:val="auto"/>
                <w:sz w:val="24"/>
                <w:szCs w:val="24"/>
                <w:lang w:val="en-US" w:eastAsia="zh-CN"/>
              </w:rPr>
              <w:t>2</w:t>
            </w:r>
            <w:r>
              <w:rPr>
                <w:rFonts w:hint="eastAsia" w:ascii="宋体" w:hAnsi="宋体" w:cs="宋体"/>
                <w:color w:val="auto"/>
                <w:sz w:val="24"/>
                <w:szCs w:val="24"/>
              </w:rPr>
              <w:t>000元/亩</w:t>
            </w:r>
            <w:r>
              <w:rPr>
                <w:rFonts w:hint="eastAsia" w:ascii="宋体" w:hAnsi="宋体" w:cs="宋体"/>
                <w:color w:val="auto"/>
                <w:sz w:val="24"/>
                <w:szCs w:val="24"/>
                <w:lang w:eastAsia="zh-CN"/>
              </w:rPr>
              <w:t>的</w:t>
            </w:r>
            <w:r>
              <w:rPr>
                <w:rFonts w:hint="eastAsia" w:ascii="宋体" w:hAnsi="宋体" w:cs="宋体"/>
                <w:color w:val="auto"/>
                <w:sz w:val="24"/>
                <w:szCs w:val="24"/>
              </w:rPr>
              <w:t>按</w:t>
            </w:r>
            <w:r>
              <w:rPr>
                <w:rFonts w:hint="eastAsia" w:ascii="宋体" w:hAnsi="宋体" w:cs="宋体"/>
                <w:color w:val="auto"/>
                <w:sz w:val="24"/>
                <w:szCs w:val="24"/>
                <w:lang w:val="en-US" w:eastAsia="zh-CN"/>
              </w:rPr>
              <w:t>2</w:t>
            </w:r>
            <w:r>
              <w:rPr>
                <w:rFonts w:hint="eastAsia" w:ascii="宋体" w:hAnsi="宋体" w:cs="宋体"/>
                <w:color w:val="auto"/>
                <w:sz w:val="24"/>
                <w:szCs w:val="24"/>
              </w:rPr>
              <w:t>000元/亩计算，本项最低0分；</w:t>
            </w:r>
          </w:p>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备注：验收组根据建设项目现场实际情况及项目单位需提供项目证明材料对产值进行客观评价。</w:t>
            </w:r>
          </w:p>
        </w:tc>
        <w:tc>
          <w:tcPr>
            <w:tcW w:w="926" w:type="dxa"/>
            <w:tcBorders>
              <w:left w:val="single" w:color="auto" w:sz="4" w:space="0"/>
              <w:bottom w:val="single" w:color="auto" w:sz="2" w:space="0"/>
              <w:right w:val="single" w:color="auto" w:sz="4" w:space="0"/>
            </w:tcBorders>
            <w:noWrap w:val="0"/>
            <w:vAlign w:val="center"/>
          </w:tcPr>
          <w:p>
            <w:pPr>
              <w:pStyle w:val="7"/>
              <w:adjustRightInd w:val="0"/>
              <w:snapToGrid w:val="0"/>
              <w:jc w:val="center"/>
              <w:rPr>
                <w:rFonts w:hint="eastAsia" w:ascii="宋体" w:hAnsi="宋体" w:cs="宋体"/>
                <w:bCs/>
                <w:snapToGrid w:val="0"/>
                <w:color w:val="auto"/>
                <w:kern w:val="0"/>
                <w:sz w:val="24"/>
                <w:szCs w:val="24"/>
              </w:rPr>
            </w:pPr>
            <w:r>
              <w:rPr>
                <w:rFonts w:hint="eastAsia" w:ascii="宋体" w:hAnsi="宋体" w:cs="宋体"/>
                <w:bCs/>
                <w:snapToGrid w:val="0"/>
                <w:color w:val="auto"/>
                <w:kern w:val="0"/>
                <w:sz w:val="24"/>
                <w:szCs w:val="24"/>
                <w:lang w:val="en-US" w:eastAsia="zh-CN"/>
              </w:rPr>
              <w:t>1</w:t>
            </w:r>
            <w:r>
              <w:rPr>
                <w:rFonts w:hint="eastAsia" w:ascii="宋体" w:hAnsi="宋体" w:cs="宋体"/>
                <w:bCs/>
                <w:snapToGrid w:val="0"/>
                <w:color w:val="auto"/>
                <w:kern w:val="0"/>
                <w:sz w:val="24"/>
                <w:szCs w:val="24"/>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9" w:hRule="atLeast"/>
          <w:jc w:val="center"/>
        </w:trPr>
        <w:tc>
          <w:tcPr>
            <w:tcW w:w="675" w:type="dxa"/>
            <w:vMerge w:val="restart"/>
            <w:tcBorders>
              <w:left w:val="single" w:color="auto" w:sz="2" w:space="0"/>
              <w:right w:val="single" w:color="auto" w:sz="2" w:space="0"/>
            </w:tcBorders>
            <w:noWrap w:val="0"/>
            <w:vAlign w:val="center"/>
          </w:tcPr>
          <w:p>
            <w:pPr>
              <w:pStyle w:val="7"/>
              <w:adjustRightInd w:val="0"/>
              <w:snapToGrid w:val="0"/>
              <w:jc w:val="center"/>
              <w:rPr>
                <w:rFonts w:hint="eastAsia" w:ascii="宋体" w:hAnsi="宋体" w:cs="宋体"/>
                <w:b/>
                <w:bCs/>
                <w:color w:val="auto"/>
                <w:sz w:val="24"/>
                <w:szCs w:val="24"/>
              </w:rPr>
            </w:pPr>
            <w:r>
              <w:rPr>
                <w:rFonts w:hint="eastAsia" w:ascii="宋体" w:hAnsi="宋体" w:cs="宋体"/>
                <w:b/>
                <w:bCs/>
                <w:color w:val="auto"/>
                <w:sz w:val="24"/>
                <w:szCs w:val="24"/>
              </w:rPr>
              <w:t>3</w:t>
            </w:r>
          </w:p>
        </w:tc>
        <w:tc>
          <w:tcPr>
            <w:tcW w:w="1034" w:type="dxa"/>
            <w:vMerge w:val="restart"/>
            <w:tcBorders>
              <w:left w:val="single" w:color="auto" w:sz="2" w:space="0"/>
              <w:right w:val="single" w:color="auto" w:sz="2" w:space="0"/>
            </w:tcBorders>
            <w:noWrap w:val="0"/>
            <w:vAlign w:val="center"/>
          </w:tcPr>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其他评价</w:t>
            </w:r>
          </w:p>
        </w:tc>
        <w:tc>
          <w:tcPr>
            <w:tcW w:w="891" w:type="dxa"/>
            <w:tcBorders>
              <w:top w:val="single" w:color="auto" w:sz="4" w:space="0"/>
              <w:left w:val="single" w:color="auto" w:sz="4" w:space="0"/>
              <w:bottom w:val="single" w:color="auto" w:sz="2" w:space="0"/>
              <w:right w:val="single" w:color="auto" w:sz="4" w:space="0"/>
            </w:tcBorders>
            <w:noWrap w:val="0"/>
            <w:vAlign w:val="center"/>
          </w:tcPr>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环保措施</w:t>
            </w:r>
          </w:p>
        </w:tc>
        <w:tc>
          <w:tcPr>
            <w:tcW w:w="6548" w:type="dxa"/>
            <w:tcBorders>
              <w:top w:val="single" w:color="auto" w:sz="4" w:space="0"/>
              <w:left w:val="single" w:color="auto" w:sz="4" w:space="0"/>
              <w:bottom w:val="single" w:color="auto" w:sz="2" w:space="0"/>
              <w:right w:val="single" w:color="auto" w:sz="4" w:space="0"/>
            </w:tcBorders>
            <w:noWrap w:val="0"/>
            <w:vAlign w:val="center"/>
          </w:tcPr>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1、项目单位按相关环保标准进行养殖尾水治理，未发生环保事故或上级部分通报情况，得10分；</w:t>
            </w:r>
          </w:p>
          <w:p>
            <w:pPr>
              <w:pStyle w:val="7"/>
              <w:adjustRightInd w:val="0"/>
              <w:snapToGrid w:val="0"/>
              <w:rPr>
                <w:rFonts w:hint="eastAsia" w:ascii="宋体" w:hAnsi="宋体" w:cs="宋体"/>
                <w:bCs/>
                <w:snapToGrid w:val="0"/>
                <w:color w:val="auto"/>
                <w:kern w:val="0"/>
                <w:sz w:val="24"/>
                <w:szCs w:val="24"/>
              </w:rPr>
            </w:pPr>
            <w:r>
              <w:rPr>
                <w:rFonts w:hint="eastAsia" w:ascii="宋体" w:hAnsi="宋体" w:cs="宋体"/>
                <w:color w:val="auto"/>
                <w:sz w:val="24"/>
                <w:szCs w:val="24"/>
              </w:rPr>
              <w:t>2、项目单位基本按环保标准进行养殖尾水治理，未发生环保事故或上级部分通报情况，得6分；</w:t>
            </w:r>
          </w:p>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3、项目单位发生环保事故或上级部分通报情况，得0分；</w:t>
            </w:r>
          </w:p>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备注：验收组根据建设项目现场实际情况及项目单位需提供项目证明材料对环保措施进行客观评价。</w:t>
            </w:r>
          </w:p>
        </w:tc>
        <w:tc>
          <w:tcPr>
            <w:tcW w:w="926" w:type="dxa"/>
            <w:tcBorders>
              <w:left w:val="single" w:color="auto" w:sz="4" w:space="0"/>
              <w:bottom w:val="single" w:color="auto" w:sz="2" w:space="0"/>
              <w:right w:val="single" w:color="auto" w:sz="4" w:space="0"/>
            </w:tcBorders>
            <w:noWrap w:val="0"/>
            <w:vAlign w:val="center"/>
          </w:tcPr>
          <w:p>
            <w:pPr>
              <w:pStyle w:val="7"/>
              <w:adjustRightInd w:val="0"/>
              <w:snapToGrid w:val="0"/>
              <w:jc w:val="center"/>
              <w:rPr>
                <w:rFonts w:hint="eastAsia" w:ascii="宋体" w:hAnsi="宋体" w:cs="宋体"/>
                <w:bCs/>
                <w:snapToGrid w:val="0"/>
                <w:color w:val="auto"/>
                <w:kern w:val="0"/>
                <w:sz w:val="24"/>
                <w:szCs w:val="24"/>
              </w:rPr>
            </w:pPr>
            <w:r>
              <w:rPr>
                <w:rFonts w:hint="eastAsia" w:ascii="宋体" w:hAnsi="宋体" w:cs="宋体"/>
                <w:bCs/>
                <w:snapToGrid w:val="0"/>
                <w:color w:val="auto"/>
                <w:kern w:val="0"/>
                <w:sz w:val="24"/>
                <w:szCs w:val="24"/>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9" w:hRule="atLeast"/>
          <w:jc w:val="center"/>
        </w:trPr>
        <w:tc>
          <w:tcPr>
            <w:tcW w:w="675" w:type="dxa"/>
            <w:vMerge w:val="continue"/>
            <w:tcBorders>
              <w:left w:val="single" w:color="auto" w:sz="2" w:space="0"/>
              <w:right w:val="single" w:color="auto" w:sz="2" w:space="0"/>
            </w:tcBorders>
            <w:noWrap w:val="0"/>
            <w:vAlign w:val="center"/>
          </w:tcPr>
          <w:p>
            <w:pPr>
              <w:pStyle w:val="7"/>
              <w:adjustRightInd w:val="0"/>
              <w:snapToGrid w:val="0"/>
              <w:jc w:val="center"/>
              <w:rPr>
                <w:rFonts w:hint="eastAsia" w:ascii="宋体" w:hAnsi="宋体" w:cs="宋体"/>
                <w:b/>
                <w:bCs/>
                <w:color w:val="auto"/>
                <w:sz w:val="24"/>
                <w:szCs w:val="24"/>
              </w:rPr>
            </w:pPr>
          </w:p>
        </w:tc>
        <w:tc>
          <w:tcPr>
            <w:tcW w:w="1034" w:type="dxa"/>
            <w:vMerge w:val="continue"/>
            <w:tcBorders>
              <w:left w:val="single" w:color="auto" w:sz="2" w:space="0"/>
              <w:right w:val="single" w:color="auto" w:sz="2" w:space="0"/>
            </w:tcBorders>
            <w:noWrap w:val="0"/>
            <w:vAlign w:val="center"/>
          </w:tcPr>
          <w:p>
            <w:pPr>
              <w:pStyle w:val="7"/>
              <w:adjustRightInd w:val="0"/>
              <w:snapToGrid w:val="0"/>
              <w:rPr>
                <w:rFonts w:hint="eastAsia" w:ascii="宋体" w:hAnsi="宋体" w:cs="宋体"/>
                <w:color w:val="auto"/>
                <w:sz w:val="24"/>
                <w:szCs w:val="24"/>
              </w:rPr>
            </w:pPr>
          </w:p>
        </w:tc>
        <w:tc>
          <w:tcPr>
            <w:tcW w:w="891" w:type="dxa"/>
            <w:tcBorders>
              <w:top w:val="single" w:color="auto" w:sz="4" w:space="0"/>
              <w:left w:val="single" w:color="auto" w:sz="4" w:space="0"/>
              <w:bottom w:val="single" w:color="auto" w:sz="2" w:space="0"/>
              <w:right w:val="single" w:color="auto" w:sz="4" w:space="0"/>
            </w:tcBorders>
            <w:noWrap w:val="0"/>
            <w:vAlign w:val="center"/>
          </w:tcPr>
          <w:p>
            <w:pPr>
              <w:pStyle w:val="7"/>
              <w:adjustRightInd w:val="0"/>
              <w:snapToGrid w:val="0"/>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科技成果</w:t>
            </w:r>
          </w:p>
        </w:tc>
        <w:tc>
          <w:tcPr>
            <w:tcW w:w="6548" w:type="dxa"/>
            <w:tcBorders>
              <w:top w:val="single" w:color="auto" w:sz="4" w:space="0"/>
              <w:left w:val="single" w:color="auto" w:sz="4" w:space="0"/>
              <w:bottom w:val="single" w:color="auto" w:sz="2" w:space="0"/>
              <w:right w:val="single" w:color="auto" w:sz="4" w:space="0"/>
            </w:tcBorders>
            <w:noWrap w:val="0"/>
            <w:vAlign w:val="center"/>
          </w:tcPr>
          <w:p>
            <w:pPr>
              <w:pStyle w:val="7"/>
              <w:numPr>
                <w:ilvl w:val="0"/>
                <w:numId w:val="5"/>
              </w:numPr>
              <w:adjustRightInd w:val="0"/>
              <w:snapToGrid w:val="0"/>
              <w:rPr>
                <w:rFonts w:hint="eastAsia" w:ascii="宋体" w:hAnsi="宋体" w:cs="宋体"/>
                <w:color w:val="auto"/>
                <w:sz w:val="24"/>
                <w:szCs w:val="24"/>
              </w:rPr>
            </w:pPr>
            <w:r>
              <w:rPr>
                <w:rFonts w:hint="eastAsia" w:ascii="宋体" w:hAnsi="宋体" w:cs="宋体"/>
                <w:color w:val="auto"/>
                <w:sz w:val="24"/>
                <w:szCs w:val="24"/>
              </w:rPr>
              <w:t>前三年</w:t>
            </w:r>
            <w:r>
              <w:rPr>
                <w:rFonts w:hint="eastAsia" w:ascii="宋体" w:hAnsi="宋体" w:cs="宋体"/>
                <w:color w:val="auto"/>
                <w:sz w:val="24"/>
                <w:szCs w:val="24"/>
                <w:lang w:val="en-US" w:eastAsia="zh-CN"/>
              </w:rPr>
              <w:t>申报专利3项以上</w:t>
            </w:r>
            <w:r>
              <w:rPr>
                <w:rFonts w:hint="eastAsia" w:ascii="宋体" w:hAnsi="宋体" w:cs="宋体"/>
                <w:color w:val="auto"/>
                <w:sz w:val="24"/>
                <w:szCs w:val="24"/>
              </w:rPr>
              <w:t>，</w:t>
            </w:r>
            <w:r>
              <w:rPr>
                <w:rFonts w:hint="eastAsia" w:ascii="宋体" w:hAnsi="宋体" w:cs="宋体"/>
                <w:color w:val="auto"/>
                <w:sz w:val="24"/>
                <w:szCs w:val="24"/>
                <w:lang w:val="en-US" w:eastAsia="zh-CN"/>
              </w:rPr>
              <w:t>新品种研发取得突破，</w:t>
            </w:r>
            <w:r>
              <w:rPr>
                <w:rFonts w:hint="eastAsia" w:ascii="宋体" w:hAnsi="宋体" w:cs="宋体"/>
                <w:color w:val="auto"/>
                <w:sz w:val="24"/>
                <w:szCs w:val="24"/>
              </w:rPr>
              <w:t>得</w:t>
            </w:r>
            <w:r>
              <w:rPr>
                <w:rFonts w:hint="eastAsia" w:ascii="宋体" w:hAnsi="宋体" w:cs="宋体"/>
                <w:color w:val="auto"/>
                <w:sz w:val="24"/>
                <w:szCs w:val="24"/>
                <w:lang w:val="en-US" w:eastAsia="zh-CN"/>
              </w:rPr>
              <w:t>3</w:t>
            </w:r>
            <w:r>
              <w:rPr>
                <w:rFonts w:hint="eastAsia" w:ascii="宋体" w:hAnsi="宋体" w:cs="宋体"/>
                <w:color w:val="auto"/>
                <w:sz w:val="24"/>
                <w:szCs w:val="24"/>
              </w:rPr>
              <w:t>0分；</w:t>
            </w:r>
          </w:p>
          <w:p>
            <w:pPr>
              <w:pStyle w:val="7"/>
              <w:numPr>
                <w:ilvl w:val="0"/>
                <w:numId w:val="5"/>
              </w:numPr>
              <w:adjustRightInd w:val="0"/>
              <w:snapToGrid w:val="0"/>
              <w:rPr>
                <w:rFonts w:hint="eastAsia" w:ascii="宋体" w:hAnsi="宋体" w:cs="宋体"/>
                <w:color w:val="auto"/>
                <w:sz w:val="24"/>
                <w:szCs w:val="24"/>
              </w:rPr>
            </w:pPr>
            <w:r>
              <w:rPr>
                <w:rFonts w:hint="eastAsia" w:ascii="宋体" w:hAnsi="宋体" w:cs="宋体"/>
                <w:color w:val="auto"/>
                <w:sz w:val="24"/>
                <w:szCs w:val="24"/>
              </w:rPr>
              <w:t>前三年</w:t>
            </w:r>
            <w:r>
              <w:rPr>
                <w:rFonts w:hint="eastAsia" w:ascii="宋体" w:hAnsi="宋体" w:cs="宋体"/>
                <w:color w:val="auto"/>
                <w:sz w:val="24"/>
                <w:szCs w:val="24"/>
                <w:lang w:val="en-US" w:eastAsia="zh-CN"/>
              </w:rPr>
              <w:t>申报专利2项，新品种研发路径清晰</w:t>
            </w:r>
            <w:r>
              <w:rPr>
                <w:rFonts w:hint="eastAsia" w:ascii="宋体" w:hAnsi="宋体" w:cs="宋体"/>
                <w:color w:val="auto"/>
                <w:sz w:val="24"/>
                <w:szCs w:val="24"/>
              </w:rPr>
              <w:t>，得</w:t>
            </w:r>
            <w:r>
              <w:rPr>
                <w:rFonts w:hint="eastAsia" w:ascii="宋体" w:hAnsi="宋体" w:cs="宋体"/>
                <w:color w:val="auto"/>
                <w:sz w:val="24"/>
                <w:szCs w:val="24"/>
                <w:lang w:val="en-US" w:eastAsia="zh-CN"/>
              </w:rPr>
              <w:t>2</w:t>
            </w:r>
            <w:r>
              <w:rPr>
                <w:rFonts w:hint="eastAsia" w:ascii="宋体" w:hAnsi="宋体" w:cs="宋体"/>
                <w:color w:val="auto"/>
                <w:sz w:val="24"/>
                <w:szCs w:val="24"/>
              </w:rPr>
              <w:t>0分；</w:t>
            </w:r>
          </w:p>
          <w:p>
            <w:pPr>
              <w:pStyle w:val="7"/>
              <w:numPr>
                <w:ilvl w:val="0"/>
                <w:numId w:val="5"/>
              </w:numPr>
              <w:adjustRightInd w:val="0"/>
              <w:snapToGrid w:val="0"/>
              <w:rPr>
                <w:rFonts w:hint="eastAsia" w:ascii="宋体" w:hAnsi="宋体" w:cs="宋体"/>
                <w:color w:val="auto"/>
                <w:sz w:val="24"/>
                <w:szCs w:val="24"/>
              </w:rPr>
            </w:pPr>
            <w:r>
              <w:rPr>
                <w:rFonts w:hint="eastAsia" w:ascii="宋体" w:hAnsi="宋体" w:cs="宋体"/>
                <w:color w:val="auto"/>
                <w:sz w:val="24"/>
                <w:szCs w:val="24"/>
              </w:rPr>
              <w:t>前三年</w:t>
            </w:r>
            <w:r>
              <w:rPr>
                <w:rFonts w:hint="eastAsia" w:ascii="宋体" w:hAnsi="宋体" w:cs="宋体"/>
                <w:color w:val="auto"/>
                <w:sz w:val="24"/>
                <w:szCs w:val="24"/>
                <w:lang w:val="en-US" w:eastAsia="zh-CN"/>
              </w:rPr>
              <w:t>申报专利1项，新品种研发积累生产性能原始数据</w:t>
            </w:r>
            <w:r>
              <w:rPr>
                <w:rFonts w:hint="eastAsia" w:ascii="宋体" w:hAnsi="宋体" w:cs="宋体"/>
                <w:color w:val="auto"/>
                <w:sz w:val="24"/>
                <w:szCs w:val="24"/>
              </w:rPr>
              <w:t>，得</w:t>
            </w:r>
            <w:r>
              <w:rPr>
                <w:rFonts w:hint="eastAsia" w:ascii="宋体" w:hAnsi="宋体" w:cs="宋体"/>
                <w:color w:val="auto"/>
                <w:sz w:val="24"/>
                <w:szCs w:val="24"/>
                <w:lang w:val="en-US" w:eastAsia="zh-CN"/>
              </w:rPr>
              <w:t>1</w:t>
            </w:r>
            <w:r>
              <w:rPr>
                <w:rFonts w:hint="eastAsia" w:ascii="宋体" w:hAnsi="宋体" w:cs="宋体"/>
                <w:color w:val="auto"/>
                <w:sz w:val="24"/>
                <w:szCs w:val="24"/>
              </w:rPr>
              <w:t>0分；</w:t>
            </w:r>
          </w:p>
          <w:p>
            <w:pPr>
              <w:pStyle w:val="7"/>
              <w:numPr>
                <w:ilvl w:val="0"/>
                <w:numId w:val="5"/>
              </w:numPr>
              <w:adjustRightInd w:val="0"/>
              <w:snapToGrid w:val="0"/>
              <w:rPr>
                <w:rFonts w:hint="eastAsia" w:ascii="宋体" w:hAnsi="宋体" w:cs="宋体"/>
                <w:color w:val="auto"/>
                <w:sz w:val="24"/>
                <w:szCs w:val="24"/>
              </w:rPr>
            </w:pPr>
            <w:r>
              <w:rPr>
                <w:rFonts w:hint="eastAsia" w:ascii="宋体" w:hAnsi="宋体" w:cs="宋体"/>
                <w:color w:val="auto"/>
                <w:sz w:val="24"/>
                <w:szCs w:val="24"/>
              </w:rPr>
              <w:t>没有</w:t>
            </w:r>
            <w:r>
              <w:rPr>
                <w:rFonts w:hint="eastAsia" w:ascii="宋体" w:hAnsi="宋体" w:cs="宋体"/>
                <w:color w:val="auto"/>
                <w:sz w:val="24"/>
                <w:szCs w:val="24"/>
                <w:lang w:val="en-US" w:eastAsia="zh-CN"/>
              </w:rPr>
              <w:t>专利或新品种研发没有开展</w:t>
            </w:r>
            <w:r>
              <w:rPr>
                <w:rFonts w:hint="eastAsia" w:ascii="宋体" w:hAnsi="宋体" w:cs="宋体"/>
                <w:color w:val="auto"/>
                <w:sz w:val="24"/>
                <w:szCs w:val="24"/>
              </w:rPr>
              <w:t>不得分。</w:t>
            </w:r>
          </w:p>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备注：项目单位需提供相关证明文件。</w:t>
            </w:r>
          </w:p>
        </w:tc>
        <w:tc>
          <w:tcPr>
            <w:tcW w:w="926" w:type="dxa"/>
            <w:tcBorders>
              <w:left w:val="single" w:color="auto" w:sz="4" w:space="0"/>
              <w:bottom w:val="single" w:color="auto" w:sz="2" w:space="0"/>
              <w:right w:val="single" w:color="auto" w:sz="4" w:space="0"/>
            </w:tcBorders>
            <w:noWrap w:val="0"/>
            <w:vAlign w:val="center"/>
          </w:tcPr>
          <w:p>
            <w:pPr>
              <w:pStyle w:val="7"/>
              <w:adjustRightInd w:val="0"/>
              <w:snapToGrid w:val="0"/>
              <w:jc w:val="center"/>
              <w:rPr>
                <w:rFonts w:hint="eastAsia" w:ascii="宋体" w:hAnsi="宋体" w:cs="宋体"/>
                <w:color w:val="auto"/>
                <w:sz w:val="24"/>
                <w:szCs w:val="24"/>
              </w:rPr>
            </w:pPr>
            <w:r>
              <w:rPr>
                <w:rFonts w:hint="eastAsia" w:ascii="宋体" w:hAnsi="宋体" w:cs="宋体"/>
                <w:bCs/>
                <w:snapToGrid w:val="0"/>
                <w:color w:val="auto"/>
                <w:kern w:val="0"/>
                <w:sz w:val="24"/>
                <w:szCs w:val="24"/>
                <w:lang w:val="en-US" w:eastAsia="zh-CN"/>
              </w:rPr>
              <w:t>3</w:t>
            </w:r>
            <w:r>
              <w:rPr>
                <w:rFonts w:hint="eastAsia" w:ascii="宋体" w:hAnsi="宋体" w:cs="宋体"/>
                <w:bCs/>
                <w:snapToGrid w:val="0"/>
                <w:color w:val="auto"/>
                <w:kern w:val="0"/>
                <w:sz w:val="24"/>
                <w:szCs w:val="24"/>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9" w:hRule="atLeast"/>
          <w:jc w:val="center"/>
        </w:trPr>
        <w:tc>
          <w:tcPr>
            <w:tcW w:w="675" w:type="dxa"/>
            <w:tcBorders>
              <w:left w:val="single" w:color="auto" w:sz="2" w:space="0"/>
              <w:right w:val="single" w:color="auto" w:sz="2" w:space="0"/>
            </w:tcBorders>
            <w:noWrap w:val="0"/>
            <w:vAlign w:val="center"/>
          </w:tcPr>
          <w:p>
            <w:pPr>
              <w:pStyle w:val="7"/>
              <w:adjustRightInd w:val="0"/>
              <w:snapToGrid w:val="0"/>
              <w:jc w:val="center"/>
              <w:rPr>
                <w:rFonts w:hint="eastAsia" w:ascii="宋体" w:hAnsi="宋体" w:cs="宋体"/>
                <w:b/>
                <w:bCs/>
                <w:color w:val="auto"/>
                <w:sz w:val="24"/>
                <w:szCs w:val="24"/>
              </w:rPr>
            </w:pPr>
            <w:r>
              <w:rPr>
                <w:rFonts w:hint="eastAsia" w:ascii="宋体" w:hAnsi="宋体" w:cs="宋体"/>
                <w:b/>
                <w:bCs/>
                <w:color w:val="auto"/>
                <w:sz w:val="24"/>
                <w:szCs w:val="24"/>
              </w:rPr>
              <w:t>4</w:t>
            </w:r>
          </w:p>
        </w:tc>
        <w:tc>
          <w:tcPr>
            <w:tcW w:w="1034" w:type="dxa"/>
            <w:tcBorders>
              <w:left w:val="single" w:color="auto" w:sz="2" w:space="0"/>
              <w:right w:val="single" w:color="auto" w:sz="2" w:space="0"/>
            </w:tcBorders>
            <w:noWrap w:val="0"/>
            <w:vAlign w:val="center"/>
          </w:tcPr>
          <w:p>
            <w:pPr>
              <w:pStyle w:val="7"/>
              <w:adjustRightInd w:val="0"/>
              <w:snapToGrid w:val="0"/>
              <w:rPr>
                <w:rFonts w:hint="eastAsia" w:ascii="宋体" w:hAnsi="宋体" w:cs="宋体"/>
                <w:color w:val="auto"/>
                <w:sz w:val="24"/>
                <w:szCs w:val="24"/>
              </w:rPr>
            </w:pPr>
            <w:r>
              <w:rPr>
                <w:rFonts w:hint="eastAsia" w:ascii="宋体" w:hAnsi="宋体" w:cs="宋体"/>
                <w:color w:val="auto"/>
                <w:sz w:val="24"/>
                <w:szCs w:val="24"/>
              </w:rPr>
              <w:t>加分项</w:t>
            </w:r>
          </w:p>
        </w:tc>
        <w:tc>
          <w:tcPr>
            <w:tcW w:w="7439" w:type="dxa"/>
            <w:gridSpan w:val="2"/>
            <w:tcBorders>
              <w:top w:val="single" w:color="auto" w:sz="4" w:space="0"/>
              <w:left w:val="single" w:color="auto" w:sz="4" w:space="0"/>
              <w:bottom w:val="single" w:color="auto" w:sz="2" w:space="0"/>
              <w:right w:val="single" w:color="auto" w:sz="4" w:space="0"/>
            </w:tcBorders>
            <w:noWrap w:val="0"/>
            <w:vAlign w:val="center"/>
          </w:tcPr>
          <w:p>
            <w:pPr>
              <w:pStyle w:val="7"/>
              <w:numPr>
                <w:ilvl w:val="0"/>
                <w:numId w:val="6"/>
              </w:numPr>
              <w:adjustRightInd w:val="0"/>
              <w:snapToGrid w:val="0"/>
              <w:rPr>
                <w:rFonts w:hint="eastAsia" w:ascii="宋体" w:hAnsi="宋体" w:cs="宋体"/>
                <w:bCs/>
                <w:snapToGrid w:val="0"/>
                <w:color w:val="auto"/>
                <w:kern w:val="0"/>
                <w:sz w:val="24"/>
                <w:szCs w:val="24"/>
              </w:rPr>
            </w:pPr>
            <w:r>
              <w:rPr>
                <w:rFonts w:hint="eastAsia" w:ascii="宋体" w:hAnsi="宋体" w:cs="宋体"/>
                <w:bCs/>
                <w:snapToGrid w:val="0"/>
                <w:color w:val="auto"/>
                <w:kern w:val="0"/>
                <w:sz w:val="24"/>
                <w:szCs w:val="24"/>
              </w:rPr>
              <w:t>项目单位新认定为广州市级农业龙头企业称号得20分；</w:t>
            </w:r>
          </w:p>
          <w:p>
            <w:pPr>
              <w:pStyle w:val="7"/>
              <w:numPr>
                <w:ilvl w:val="0"/>
                <w:numId w:val="6"/>
              </w:numPr>
              <w:adjustRightInd w:val="0"/>
              <w:snapToGrid w:val="0"/>
              <w:rPr>
                <w:rFonts w:hint="eastAsia" w:ascii="宋体" w:hAnsi="宋体" w:cs="宋体"/>
                <w:bCs/>
                <w:snapToGrid w:val="0"/>
                <w:color w:val="auto"/>
                <w:kern w:val="0"/>
                <w:sz w:val="24"/>
                <w:szCs w:val="24"/>
              </w:rPr>
            </w:pPr>
            <w:r>
              <w:rPr>
                <w:rFonts w:hint="eastAsia" w:ascii="宋体" w:hAnsi="宋体" w:cs="宋体"/>
                <w:bCs/>
                <w:snapToGrid w:val="0"/>
                <w:color w:val="auto"/>
                <w:kern w:val="0"/>
                <w:sz w:val="24"/>
                <w:szCs w:val="24"/>
              </w:rPr>
              <w:t>项目单位新认定为广东省级农业龙头企业称号得30分；</w:t>
            </w:r>
          </w:p>
          <w:p>
            <w:pPr>
              <w:pStyle w:val="7"/>
              <w:numPr>
                <w:ilvl w:val="0"/>
                <w:numId w:val="6"/>
              </w:numPr>
              <w:adjustRightInd w:val="0"/>
              <w:snapToGrid w:val="0"/>
              <w:rPr>
                <w:rFonts w:hint="eastAsia" w:ascii="宋体" w:hAnsi="宋体" w:cs="宋体"/>
                <w:bCs/>
                <w:snapToGrid w:val="0"/>
                <w:color w:val="auto"/>
                <w:kern w:val="0"/>
                <w:sz w:val="24"/>
                <w:szCs w:val="24"/>
              </w:rPr>
            </w:pPr>
            <w:r>
              <w:rPr>
                <w:rFonts w:hint="eastAsia" w:ascii="宋体" w:hAnsi="宋体" w:cs="宋体"/>
                <w:bCs/>
                <w:snapToGrid w:val="0"/>
                <w:color w:val="auto"/>
                <w:kern w:val="0"/>
                <w:sz w:val="24"/>
                <w:szCs w:val="24"/>
              </w:rPr>
              <w:t>项目单位得到广州市级及以上政府单位进行表彰的，得10分；</w:t>
            </w:r>
          </w:p>
          <w:p>
            <w:pPr>
              <w:pStyle w:val="7"/>
              <w:adjustRightInd w:val="0"/>
              <w:snapToGrid w:val="0"/>
              <w:rPr>
                <w:rFonts w:hint="eastAsia" w:ascii="宋体" w:hAnsi="宋体" w:cs="宋体"/>
                <w:bCs/>
                <w:snapToGrid w:val="0"/>
                <w:color w:val="auto"/>
                <w:kern w:val="0"/>
                <w:sz w:val="24"/>
                <w:szCs w:val="24"/>
              </w:rPr>
            </w:pPr>
            <w:r>
              <w:rPr>
                <w:rFonts w:hint="eastAsia" w:ascii="宋体" w:hAnsi="宋体" w:cs="宋体"/>
                <w:bCs/>
                <w:snapToGrid w:val="0"/>
                <w:color w:val="auto"/>
                <w:kern w:val="0"/>
                <w:sz w:val="24"/>
                <w:szCs w:val="24"/>
              </w:rPr>
              <w:t>本项最高分为30分</w:t>
            </w:r>
          </w:p>
        </w:tc>
        <w:tc>
          <w:tcPr>
            <w:tcW w:w="926" w:type="dxa"/>
            <w:tcBorders>
              <w:left w:val="single" w:color="auto" w:sz="4" w:space="0"/>
              <w:bottom w:val="single" w:color="auto" w:sz="2" w:space="0"/>
              <w:right w:val="single" w:color="auto" w:sz="4" w:space="0"/>
            </w:tcBorders>
            <w:noWrap w:val="0"/>
            <w:vAlign w:val="center"/>
          </w:tcPr>
          <w:p>
            <w:pPr>
              <w:pStyle w:val="7"/>
              <w:adjustRightInd w:val="0"/>
              <w:snapToGrid w:val="0"/>
              <w:jc w:val="center"/>
              <w:rPr>
                <w:rFonts w:hint="eastAsia" w:ascii="宋体" w:hAnsi="宋体" w:cs="宋体"/>
                <w:bCs/>
                <w:snapToGrid w:val="0"/>
                <w:color w:val="auto"/>
                <w:kern w:val="0"/>
                <w:sz w:val="24"/>
                <w:szCs w:val="24"/>
              </w:rPr>
            </w:pPr>
            <w:r>
              <w:rPr>
                <w:rFonts w:hint="eastAsia" w:ascii="宋体" w:hAnsi="宋体" w:cs="宋体"/>
                <w:bCs/>
                <w:snapToGrid w:val="0"/>
                <w:color w:val="auto"/>
                <w:kern w:val="0"/>
                <w:sz w:val="24"/>
                <w:szCs w:val="24"/>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2" w:hRule="atLeast"/>
          <w:jc w:val="center"/>
        </w:trPr>
        <w:tc>
          <w:tcPr>
            <w:tcW w:w="9148" w:type="dxa"/>
            <w:gridSpan w:val="4"/>
            <w:tcBorders>
              <w:left w:val="single" w:color="auto" w:sz="2" w:space="0"/>
              <w:right w:val="single" w:color="auto" w:sz="4" w:space="0"/>
            </w:tcBorders>
            <w:noWrap w:val="0"/>
            <w:vAlign w:val="center"/>
          </w:tcPr>
          <w:p>
            <w:pPr>
              <w:pStyle w:val="7"/>
              <w:adjustRightInd w:val="0"/>
              <w:snapToGrid w:val="0"/>
              <w:jc w:val="center"/>
              <w:rPr>
                <w:rFonts w:hint="eastAsia" w:ascii="宋体" w:hAnsi="宋体" w:cs="宋体"/>
                <w:bCs/>
                <w:snapToGrid w:val="0"/>
                <w:color w:val="auto"/>
                <w:kern w:val="0"/>
                <w:sz w:val="24"/>
                <w:szCs w:val="24"/>
              </w:rPr>
            </w:pPr>
            <w:r>
              <w:rPr>
                <w:rFonts w:hint="eastAsia" w:ascii="宋体" w:hAnsi="宋体" w:cs="宋体"/>
                <w:b/>
                <w:snapToGrid w:val="0"/>
                <w:color w:val="auto"/>
                <w:kern w:val="0"/>
                <w:sz w:val="24"/>
                <w:szCs w:val="24"/>
              </w:rPr>
              <w:t>合计</w:t>
            </w:r>
          </w:p>
        </w:tc>
        <w:tc>
          <w:tcPr>
            <w:tcW w:w="926" w:type="dxa"/>
            <w:tcBorders>
              <w:left w:val="single" w:color="auto" w:sz="4" w:space="0"/>
              <w:bottom w:val="single" w:color="auto" w:sz="2" w:space="0"/>
              <w:right w:val="single" w:color="auto" w:sz="4" w:space="0"/>
            </w:tcBorders>
            <w:noWrap w:val="0"/>
            <w:vAlign w:val="center"/>
          </w:tcPr>
          <w:p>
            <w:pPr>
              <w:pStyle w:val="7"/>
              <w:adjustRightInd w:val="0"/>
              <w:snapToGrid w:val="0"/>
              <w:jc w:val="center"/>
              <w:rPr>
                <w:rFonts w:hint="eastAsia" w:ascii="宋体" w:hAnsi="宋体" w:cs="宋体"/>
                <w:bCs/>
                <w:snapToGrid w:val="0"/>
                <w:color w:val="auto"/>
                <w:kern w:val="0"/>
                <w:sz w:val="24"/>
                <w:szCs w:val="24"/>
              </w:rPr>
            </w:pPr>
            <w:r>
              <w:rPr>
                <w:rFonts w:hint="eastAsia" w:ascii="宋体" w:hAnsi="宋体" w:cs="宋体"/>
                <w:bCs/>
                <w:snapToGrid w:val="0"/>
                <w:color w:val="auto"/>
                <w:kern w:val="0"/>
                <w:sz w:val="24"/>
                <w:szCs w:val="24"/>
              </w:rPr>
              <w:t>130</w:t>
            </w:r>
          </w:p>
        </w:tc>
      </w:tr>
    </w:tbl>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附件4：水治理承诺书</w:t>
      </w:r>
    </w:p>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广州市池塘养殖水治理</w:t>
      </w:r>
    </w:p>
    <w:p/>
    <w:p/>
    <w:p/>
    <w:p/>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承</w:t>
      </w:r>
    </w:p>
    <w:p>
      <w:pPr>
        <w:jc w:val="center"/>
        <w:rPr>
          <w:rFonts w:ascii="方正小标宋简体" w:hAnsi="方正小标宋简体" w:eastAsia="方正小标宋简体" w:cs="方正小标宋简体"/>
          <w:sz w:val="84"/>
          <w:szCs w:val="84"/>
        </w:rPr>
      </w:pPr>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诺</w:t>
      </w:r>
    </w:p>
    <w:p>
      <w:pPr>
        <w:jc w:val="center"/>
        <w:rPr>
          <w:rFonts w:ascii="方正小标宋简体" w:hAnsi="方正小标宋简体" w:eastAsia="方正小标宋简体" w:cs="方正小标宋简体"/>
          <w:sz w:val="84"/>
          <w:szCs w:val="84"/>
        </w:rPr>
      </w:pPr>
    </w:p>
    <w:p>
      <w:pPr>
        <w:jc w:val="center"/>
      </w:pPr>
      <w:r>
        <w:rPr>
          <w:rFonts w:hint="eastAsia" w:ascii="方正小标宋简体" w:hAnsi="方正小标宋简体" w:eastAsia="方正小标宋简体" w:cs="方正小标宋简体"/>
          <w:sz w:val="84"/>
          <w:szCs w:val="84"/>
        </w:rPr>
        <w:t>书</w:t>
      </w:r>
    </w:p>
    <w:p/>
    <w:p/>
    <w:p/>
    <w:p/>
    <w:p/>
    <w:p/>
    <w:p/>
    <w:p/>
    <w:p/>
    <w:p>
      <w:pPr>
        <w:ind w:firstLine="600" w:firstLineChars="200"/>
        <w:rPr>
          <w:rFonts w:ascii="仿宋_GB2312" w:hAnsi="仿宋_GB2312" w:eastAsia="仿宋_GB2312" w:cs="仿宋_GB2312"/>
          <w:sz w:val="30"/>
          <w:szCs w:val="30"/>
        </w:rPr>
      </w:pPr>
    </w:p>
    <w:p>
      <w:pPr>
        <w:ind w:firstLine="600" w:firstLineChars="200"/>
        <w:rPr>
          <w:rFonts w:hint="eastAsia" w:ascii="仿宋_GB2312" w:hAnsi="仿宋_GB2312" w:eastAsia="仿宋_GB2312" w:cs="仿宋_GB2312"/>
          <w:sz w:val="30"/>
          <w:szCs w:val="30"/>
        </w:rPr>
      </w:pPr>
    </w:p>
    <w:p>
      <w:pPr>
        <w:ind w:firstLine="600" w:firstLineChars="200"/>
        <w:rPr>
          <w:rFonts w:hint="eastAsia" w:ascii="仿宋_GB2312" w:hAnsi="仿宋_GB2312" w:eastAsia="仿宋_GB2312" w:cs="仿宋_GB2312"/>
          <w:sz w:val="30"/>
          <w:szCs w:val="30"/>
        </w:rPr>
      </w:pPr>
    </w:p>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根据《广州市池塘养殖水治理三年行动方案（2018-2020）》要求，为保证按时按质量完成池塘养殖水治理任务，确保养殖水排放达到治理目标，本养殖场承诺如下：</w:t>
      </w:r>
    </w:p>
    <w:p>
      <w:pPr>
        <w:numPr>
          <w:ilvl w:val="0"/>
          <w:numId w:val="7"/>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对化学需氧量（COD</w:t>
      </w:r>
      <w:r>
        <w:rPr>
          <w:rFonts w:hint="eastAsia" w:ascii="仿宋_GB2312" w:hAnsi="仿宋_GB2312" w:eastAsia="仿宋_GB2312" w:cs="仿宋_GB2312"/>
          <w:sz w:val="30"/>
          <w:szCs w:val="30"/>
          <w:vertAlign w:val="subscript"/>
        </w:rPr>
        <w:t>Mn</w:t>
      </w:r>
      <w:r>
        <w:rPr>
          <w:rFonts w:hint="eastAsia" w:ascii="仿宋_GB2312" w:hAnsi="仿宋_GB2312" w:eastAsia="仿宋_GB2312" w:cs="仿宋_GB2312"/>
          <w:sz w:val="30"/>
          <w:szCs w:val="30"/>
        </w:rPr>
        <w:t>）、总氮、总磷共三项指标进行治理。养殖水治理后循环利用或用于农业灌溉的，保证治理后水质达到《淡水池塘养殖水排放要求》（SC/T9101-2007），保证</w:t>
      </w:r>
      <w:r>
        <w:rPr>
          <w:rFonts w:hint="eastAsia" w:ascii="仿宋_GB2312" w:hAnsi="仿宋_GB2312" w:eastAsia="仿宋_GB2312" w:cs="仿宋_GB2312"/>
          <w:sz w:val="30"/>
          <w:szCs w:val="30"/>
          <w:u w:val="single"/>
        </w:rPr>
        <w:t>不达标</w:t>
      </w:r>
      <w:r>
        <w:rPr>
          <w:rFonts w:hint="eastAsia" w:ascii="仿宋_GB2312" w:hAnsi="仿宋_GB2312" w:eastAsia="仿宋_GB2312" w:cs="仿宋_GB2312"/>
          <w:sz w:val="30"/>
          <w:szCs w:val="30"/>
        </w:rPr>
        <w:t>不对外排放。养殖水治理后排放到附近河湖的，保证治理后水质达到所在区域相对应的地表水考核断面水质目标要求，保证达标排放。</w:t>
      </w:r>
    </w:p>
    <w:p>
      <w:pPr>
        <w:numPr>
          <w:ilvl w:val="0"/>
          <w:numId w:val="7"/>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对水质经检测符合要求无需进行治理的池塘，实施严格管理，保持水质稳定，保证养殖水循环使用或达标排放。</w:t>
      </w:r>
    </w:p>
    <w:p>
      <w:pPr>
        <w:numPr>
          <w:ilvl w:val="0"/>
          <w:numId w:val="7"/>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严禁偷排养殖用水等违法违规行为的发生，严禁瞒报养殖水水质异常情况，发现异常情况保证立即报告当地镇（街）农办。</w:t>
      </w:r>
    </w:p>
    <w:p>
      <w:pPr>
        <w:numPr>
          <w:ilvl w:val="0"/>
          <w:numId w:val="7"/>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配合各级政府管理部门做好池塘养殖循环用水的调查监测、验收和监督管理等工作。</w:t>
      </w: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wordWrap w:val="0"/>
        <w:jc w:val="righ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承诺人：            </w:t>
      </w:r>
    </w:p>
    <w:p>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0"/>
          <w:szCs w:val="30"/>
        </w:rPr>
        <w:t>日期：</w:t>
      </w:r>
      <w:r>
        <w:rPr>
          <w:rFonts w:hint="eastAsia" w:ascii="仿宋_GB2312" w:hAnsi="仿宋_GB2312" w:eastAsia="仿宋_GB2312" w:cs="仿宋_GB2312"/>
          <w:sz w:val="32"/>
          <w:szCs w:val="32"/>
        </w:rPr>
        <w:t xml:space="preserve">             </w:t>
      </w:r>
    </w:p>
    <w:p>
      <w:pPr>
        <w:pStyle w:val="2"/>
        <w:numPr>
          <w:ilvl w:val="0"/>
          <w:numId w:val="0"/>
        </w:numPr>
        <w:jc w:val="left"/>
        <w:rPr>
          <w:rFonts w:hint="default"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附件5：土地交接记录表</w:t>
      </w:r>
    </w:p>
    <w:p>
      <w:pPr>
        <w:jc w:val="center"/>
        <w:rPr>
          <w:rFonts w:hint="eastAsia"/>
          <w:b/>
          <w:sz w:val="36"/>
          <w:szCs w:val="36"/>
        </w:rPr>
      </w:pPr>
      <w:r>
        <w:rPr>
          <w:rFonts w:hint="eastAsia"/>
          <w:b/>
          <w:sz w:val="36"/>
          <w:szCs w:val="36"/>
        </w:rPr>
        <w:t>土地交接记录表</w:t>
      </w:r>
    </w:p>
    <w:p>
      <w:pPr>
        <w:rPr>
          <w:rFonts w:hint="eastAsia"/>
        </w:rPr>
      </w:pPr>
      <w:r>
        <w:rPr>
          <w:rFonts w:hint="eastAsia"/>
        </w:rPr>
        <w:t>垦区：</w:t>
      </w:r>
      <w:r>
        <w:rPr>
          <w:rFonts w:hint="eastAsia" w:ascii="宋体" w:hAnsi="宋体" w:cs="宋体"/>
          <w:kern w:val="0"/>
          <w:szCs w:val="21"/>
          <w:lang w:bidi="ar"/>
        </w:rPr>
        <w:t>沙尾垦区</w:t>
      </w:r>
      <w:r>
        <w:rPr>
          <w:rFonts w:hint="eastAsia" w:ascii="宋体" w:hAnsi="宋体" w:cs="宋体"/>
          <w:kern w:val="0"/>
          <w:szCs w:val="21"/>
          <w:lang w:val="en-US" w:eastAsia="zh-CN" w:bidi="ar"/>
        </w:rPr>
        <w:t>21西围</w:t>
      </w:r>
      <w:r>
        <w:rPr>
          <w:rFonts w:hint="eastAsia"/>
        </w:rPr>
        <w:t xml:space="preserve">                                                    </w:t>
      </w:r>
    </w:p>
    <w:tbl>
      <w:tblPr>
        <w:tblStyle w:val="5"/>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szCs w:val="21"/>
              </w:rPr>
            </w:pPr>
            <w:r>
              <w:rPr>
                <w:rFonts w:hint="eastAsia"/>
                <w:szCs w:val="21"/>
              </w:rPr>
              <w:t>田号</w:t>
            </w:r>
          </w:p>
        </w:tc>
        <w:tc>
          <w:tcPr>
            <w:tcW w:w="1307" w:type="dxa"/>
            <w:vMerge w:val="restart"/>
            <w:noWrap w:val="0"/>
            <w:vAlign w:val="center"/>
          </w:tcPr>
          <w:p>
            <w:pPr>
              <w:jc w:val="center"/>
              <w:rPr>
                <w:rFonts w:hint="eastAsia"/>
                <w:szCs w:val="21"/>
              </w:rPr>
            </w:pPr>
            <w:r>
              <w:rPr>
                <w:rFonts w:hint="eastAsia"/>
                <w:szCs w:val="21"/>
              </w:rPr>
              <w:t>面积（亩）</w:t>
            </w:r>
          </w:p>
        </w:tc>
        <w:tc>
          <w:tcPr>
            <w:tcW w:w="6654" w:type="dxa"/>
            <w:gridSpan w:val="2"/>
            <w:noWrap w:val="0"/>
            <w:vAlign w:val="center"/>
          </w:tcPr>
          <w:p>
            <w:pPr>
              <w:jc w:val="center"/>
              <w:rPr>
                <w:rFonts w:hint="eastAsia"/>
                <w:szCs w:val="21"/>
              </w:rPr>
            </w:pPr>
            <w:r>
              <w:rPr>
                <w:rFonts w:hint="eastAsia"/>
                <w:szCs w:val="21"/>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szCs w:val="21"/>
              </w:rPr>
            </w:pPr>
          </w:p>
        </w:tc>
        <w:tc>
          <w:tcPr>
            <w:tcW w:w="1307" w:type="dxa"/>
            <w:vMerge w:val="continue"/>
            <w:noWrap w:val="0"/>
            <w:vAlign w:val="center"/>
          </w:tcPr>
          <w:p>
            <w:pPr>
              <w:jc w:val="center"/>
              <w:rPr>
                <w:rFonts w:hint="eastAsia"/>
                <w:szCs w:val="21"/>
              </w:rPr>
            </w:pPr>
          </w:p>
        </w:tc>
        <w:tc>
          <w:tcPr>
            <w:tcW w:w="3197" w:type="dxa"/>
            <w:noWrap w:val="0"/>
            <w:vAlign w:val="center"/>
          </w:tcPr>
          <w:p>
            <w:pPr>
              <w:jc w:val="center"/>
              <w:rPr>
                <w:rFonts w:hint="eastAsia"/>
                <w:szCs w:val="21"/>
              </w:rPr>
            </w:pPr>
            <w:r>
              <w:rPr>
                <w:rFonts w:hint="eastAsia"/>
                <w:szCs w:val="21"/>
              </w:rPr>
              <w:t>移交单位（部门）</w:t>
            </w:r>
          </w:p>
        </w:tc>
        <w:tc>
          <w:tcPr>
            <w:tcW w:w="3457" w:type="dxa"/>
            <w:noWrap w:val="0"/>
            <w:vAlign w:val="center"/>
          </w:tcPr>
          <w:p>
            <w:pPr>
              <w:jc w:val="center"/>
              <w:rPr>
                <w:rFonts w:hint="eastAsia"/>
                <w:szCs w:val="21"/>
              </w:rPr>
            </w:pPr>
            <w:r>
              <w:rPr>
                <w:rFonts w:hint="eastAsia"/>
                <w:szCs w:val="21"/>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420" w:type="dxa"/>
            <w:noWrap w:val="0"/>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21西</w:t>
            </w:r>
            <w:r>
              <w:rPr>
                <w:rFonts w:hint="eastAsia" w:ascii="宋体" w:hAnsi="宋体" w:cs="宋体"/>
                <w:szCs w:val="21"/>
              </w:rPr>
              <w:t>围</w:t>
            </w:r>
            <w:r>
              <w:rPr>
                <w:rFonts w:hint="eastAsia" w:ascii="宋体" w:hAnsi="宋体" w:cs="宋体"/>
                <w:szCs w:val="21"/>
                <w:lang w:val="en-US" w:eastAsia="zh-CN"/>
              </w:rPr>
              <w:t>下间5-6号</w:t>
            </w:r>
          </w:p>
        </w:tc>
        <w:tc>
          <w:tcPr>
            <w:tcW w:w="1307" w:type="dxa"/>
            <w:noWrap w:val="0"/>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110.00</w:t>
            </w:r>
          </w:p>
        </w:tc>
        <w:tc>
          <w:tcPr>
            <w:tcW w:w="3197" w:type="dxa"/>
            <w:noWrap w:val="0"/>
            <w:vAlign w:val="center"/>
          </w:tcPr>
          <w:p>
            <w:pPr>
              <w:jc w:val="center"/>
              <w:rPr>
                <w:rFonts w:hint="eastAsia" w:ascii="宋体" w:hAnsi="宋体" w:cs="宋体"/>
                <w:szCs w:val="21"/>
              </w:rPr>
            </w:pPr>
            <w:r>
              <w:rPr>
                <w:rStyle w:val="8"/>
                <w:rFonts w:hint="eastAsia" w:ascii="宋体" w:hAnsi="宋体" w:cs="宋体"/>
                <w:i w:val="0"/>
                <w:color w:val="auto"/>
                <w:szCs w:val="21"/>
              </w:rPr>
              <w:t>广州南沙现代农业产业集团</w:t>
            </w:r>
            <w:r>
              <w:rPr>
                <w:rStyle w:val="8"/>
                <w:rFonts w:hint="eastAsia" w:ascii="宋体" w:hAnsi="宋体" w:eastAsia="宋体" w:cs="宋体"/>
                <w:i w:val="0"/>
                <w:color w:val="auto"/>
                <w:szCs w:val="21"/>
                <w:lang w:val="en-US" w:eastAsia="zh-CN"/>
              </w:rPr>
              <w:t>有限</w:t>
            </w:r>
            <w:r>
              <w:rPr>
                <w:rStyle w:val="8"/>
                <w:rFonts w:hint="eastAsia" w:ascii="宋体" w:hAnsi="宋体" w:cs="宋体"/>
                <w:i w:val="0"/>
                <w:color w:val="auto"/>
                <w:szCs w:val="21"/>
              </w:rPr>
              <w:t>公司</w:t>
            </w:r>
          </w:p>
        </w:tc>
        <w:tc>
          <w:tcPr>
            <w:tcW w:w="3457" w:type="dxa"/>
            <w:noWrap w:val="0"/>
            <w:vAlign w:val="center"/>
          </w:tcPr>
          <w:p>
            <w:pPr>
              <w:jc w:val="center"/>
              <w:rPr>
                <w:rFonts w:hint="eastAsia" w:ascii="宋体" w:hAnsi="宋体" w:cs="宋体"/>
                <w:szCs w:val="21"/>
              </w:rPr>
            </w:pPr>
          </w:p>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szCs w:val="21"/>
              </w:rPr>
            </w:pPr>
            <w:r>
              <w:rPr>
                <w:rFonts w:hint="eastAsia"/>
                <w:szCs w:val="21"/>
              </w:rPr>
              <w:t>移交日期</w:t>
            </w:r>
          </w:p>
        </w:tc>
        <w:tc>
          <w:tcPr>
            <w:tcW w:w="3197" w:type="dxa"/>
            <w:noWrap w:val="0"/>
            <w:vAlign w:val="center"/>
          </w:tcPr>
          <w:p>
            <w:pPr>
              <w:jc w:val="center"/>
              <w:rPr>
                <w:rFonts w:hint="eastAsia"/>
                <w:szCs w:val="21"/>
              </w:rPr>
            </w:pPr>
            <w:r>
              <w:rPr>
                <w:rFonts w:hint="eastAsia"/>
                <w:szCs w:val="21"/>
              </w:rPr>
              <w:t>移交单位签名（盖章）</w:t>
            </w:r>
          </w:p>
        </w:tc>
        <w:tc>
          <w:tcPr>
            <w:tcW w:w="3457" w:type="dxa"/>
            <w:noWrap w:val="0"/>
            <w:vAlign w:val="center"/>
          </w:tcPr>
          <w:p>
            <w:pPr>
              <w:jc w:val="center"/>
              <w:rPr>
                <w:rFonts w:hint="eastAsia"/>
                <w:szCs w:val="21"/>
              </w:rPr>
            </w:pPr>
            <w:r>
              <w:rPr>
                <w:rFonts w:hint="eastAsia"/>
                <w:szCs w:val="21"/>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szCs w:val="21"/>
              </w:rPr>
            </w:pPr>
            <w:r>
              <w:rPr>
                <w:rFonts w:hint="eastAsia"/>
                <w:szCs w:val="21"/>
              </w:rPr>
              <w:t xml:space="preserve"> 202</w:t>
            </w:r>
            <w:r>
              <w:rPr>
                <w:rFonts w:hint="eastAsia"/>
                <w:szCs w:val="21"/>
                <w:lang w:val="en-US" w:eastAsia="zh-CN"/>
              </w:rPr>
              <w:t>2</w:t>
            </w:r>
            <w:r>
              <w:rPr>
                <w:rFonts w:hint="eastAsia"/>
                <w:szCs w:val="21"/>
              </w:rPr>
              <w:t>年*月*日</w:t>
            </w:r>
          </w:p>
        </w:tc>
        <w:tc>
          <w:tcPr>
            <w:tcW w:w="3197" w:type="dxa"/>
            <w:noWrap w:val="0"/>
            <w:vAlign w:val="center"/>
          </w:tcPr>
          <w:p>
            <w:pPr>
              <w:jc w:val="center"/>
              <w:rPr>
                <w:rFonts w:hint="eastAsia"/>
                <w:szCs w:val="21"/>
              </w:rPr>
            </w:pPr>
          </w:p>
        </w:tc>
        <w:tc>
          <w:tcPr>
            <w:tcW w:w="3457" w:type="dxa"/>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szCs w:val="21"/>
              </w:rPr>
            </w:pPr>
            <w:r>
              <w:rPr>
                <w:rFonts w:hint="eastAsia"/>
                <w:szCs w:val="21"/>
              </w:rPr>
              <w:t>说明：合同期限自签订土地移交记录表之日开始计算合同期。</w:t>
            </w:r>
          </w:p>
        </w:tc>
      </w:tr>
    </w:tbl>
    <w:p>
      <w:pPr>
        <w:ind w:firstLine="5880" w:firstLineChars="2800"/>
        <w:rPr>
          <w:rFonts w:hint="eastAsia"/>
        </w:rPr>
      </w:pPr>
    </w:p>
    <w:p>
      <w:pPr>
        <w:pStyle w:val="2"/>
        <w:numPr>
          <w:ilvl w:val="0"/>
          <w:numId w:val="0"/>
        </w:numPr>
        <w:jc w:val="left"/>
        <w:rPr>
          <w:rFonts w:hint="default" w:ascii="仿宋" w:hAnsi="仿宋" w:eastAsia="仿宋" w:cs="仿宋"/>
          <w:sz w:val="28"/>
          <w:szCs w:val="28"/>
          <w:lang w:val="en-US" w:eastAsia="zh-CN"/>
        </w:rPr>
      </w:pPr>
      <w:r>
        <w:rPr>
          <w:rFonts w:hint="eastAsia"/>
        </w:rPr>
        <w:t>签订日期：202</w:t>
      </w:r>
      <w:r>
        <w:rPr>
          <w:rFonts w:hint="eastAsia"/>
          <w:lang w:val="en-US" w:eastAsia="zh-CN"/>
        </w:rPr>
        <w:t>2</w:t>
      </w:r>
      <w:r>
        <w:rPr>
          <w:rFonts w:hint="eastAsia"/>
        </w:rPr>
        <w:t>年*月*日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3"/>
    <w:multiLevelType w:val="singleLevel"/>
    <w:tmpl w:val="00000003"/>
    <w:lvl w:ilvl="0" w:tentative="0">
      <w:start w:val="1"/>
      <w:numFmt w:val="decimal"/>
      <w:suff w:val="nothing"/>
      <w:lvlText w:val="%1、"/>
      <w:lvlJc w:val="left"/>
    </w:lvl>
  </w:abstractNum>
  <w:abstractNum w:abstractNumId="2">
    <w:nsid w:val="00000004"/>
    <w:multiLevelType w:val="singleLevel"/>
    <w:tmpl w:val="00000004"/>
    <w:lvl w:ilvl="0" w:tentative="0">
      <w:start w:val="1"/>
      <w:numFmt w:val="decimal"/>
      <w:suff w:val="nothing"/>
      <w:lvlText w:val="%1、"/>
      <w:lvlJc w:val="left"/>
    </w:lvl>
  </w:abstractNum>
  <w:abstractNum w:abstractNumId="3">
    <w:nsid w:val="00000005"/>
    <w:multiLevelType w:val="singleLevel"/>
    <w:tmpl w:val="00000005"/>
    <w:lvl w:ilvl="0" w:tentative="0">
      <w:start w:val="1"/>
      <w:numFmt w:val="decimal"/>
      <w:suff w:val="nothing"/>
      <w:lvlText w:val="%1、"/>
      <w:lvlJc w:val="left"/>
    </w:lvl>
  </w:abstractNum>
  <w:abstractNum w:abstractNumId="4">
    <w:nsid w:val="23EEB227"/>
    <w:multiLevelType w:val="singleLevel"/>
    <w:tmpl w:val="23EEB227"/>
    <w:lvl w:ilvl="0" w:tentative="0">
      <w:start w:val="15"/>
      <w:numFmt w:val="chineseCounting"/>
      <w:suff w:val="nothing"/>
      <w:lvlText w:val="%1、"/>
      <w:lvlJc w:val="left"/>
      <w:rPr>
        <w:rFonts w:hint="eastAsia"/>
      </w:rPr>
    </w:lvl>
  </w:abstractNum>
  <w:abstractNum w:abstractNumId="5">
    <w:nsid w:val="37CE800F"/>
    <w:multiLevelType w:val="singleLevel"/>
    <w:tmpl w:val="37CE800F"/>
    <w:lvl w:ilvl="0" w:tentative="0">
      <w:start w:val="5"/>
      <w:numFmt w:val="chineseCounting"/>
      <w:suff w:val="nothing"/>
      <w:lvlText w:val="%1、"/>
      <w:lvlJc w:val="left"/>
      <w:rPr>
        <w:rFonts w:hint="eastAsia"/>
      </w:rPr>
    </w:lvl>
  </w:abstractNum>
  <w:abstractNum w:abstractNumId="6">
    <w:nsid w:val="4307283A"/>
    <w:multiLevelType w:val="singleLevel"/>
    <w:tmpl w:val="4307283A"/>
    <w:lvl w:ilvl="0" w:tentative="0">
      <w:start w:val="1"/>
      <w:numFmt w:val="chineseCounting"/>
      <w:suff w:val="nothing"/>
      <w:lvlText w:val="%1、"/>
      <w:lvlJc w:val="left"/>
      <w:rPr>
        <w:rFonts w:hint="eastAsia"/>
      </w:rPr>
    </w:lvl>
  </w:abstractNum>
  <w:num w:numId="1">
    <w:abstractNumId w:val="5"/>
  </w:num>
  <w:num w:numId="2">
    <w:abstractNumId w:val="4"/>
  </w:num>
  <w:num w:numId="3">
    <w:abstractNumId w:val="2"/>
  </w:num>
  <w:num w:numId="4">
    <w:abstractNumId w:val="0"/>
  </w:num>
  <w:num w:numId="5">
    <w:abstractNumId w:val="1"/>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184C5F"/>
    <w:rsid w:val="12DF7D13"/>
    <w:rsid w:val="20976C95"/>
    <w:rsid w:val="32FB6DBB"/>
    <w:rsid w:val="351C0AC4"/>
    <w:rsid w:val="3D8463FB"/>
    <w:rsid w:val="43B32B50"/>
    <w:rsid w:val="48660EF1"/>
    <w:rsid w:val="55153458"/>
    <w:rsid w:val="56CD4DA7"/>
    <w:rsid w:val="6A5C45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Body Text Indent 2"/>
    <w:basedOn w:val="1"/>
    <w:qFormat/>
    <w:uiPriority w:val="0"/>
    <w:pPr>
      <w:spacing w:line="360" w:lineRule="auto"/>
      <w:ind w:firstLine="630" w:firstLineChars="300"/>
    </w:pPr>
  </w:style>
  <w:style w:type="paragraph" w:styleId="4">
    <w:name w:val="toc 2"/>
    <w:basedOn w:val="1"/>
    <w:next w:val="1"/>
    <w:qFormat/>
    <w:uiPriority w:val="0"/>
    <w:pPr>
      <w:ind w:left="420" w:leftChars="200"/>
    </w:pPr>
    <w:rPr>
      <w:rFonts w:ascii="Calibri" w:hAnsi="Calibri" w:eastAsia="宋体" w:cs="Times New Roman"/>
    </w:rPr>
  </w:style>
  <w:style w:type="paragraph" w:customStyle="1" w:styleId="7">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8">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rx</cp:lastModifiedBy>
  <dcterms:modified xsi:type="dcterms:W3CDTF">2022-02-24T06:11:43Z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FA7B23B429134CC48D49548179F169E6</vt:lpwstr>
  </property>
</Properties>
</file>